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new eLearning modules on the EIF4SCC and the MIMs are now available</w:t>
      </w:r>
    </w:p>
    <w:p>
      <w:pPr/>
    </w:p>
    <w:p>
      <w:pPr>
        <w:spacing w:line="288" w:lineRule="auto"/>
      </w:pPr>
      <w:r>
        <w:rPr>
          <w:rFonts w:ascii="Arial" w:hAnsi="Arial" w:eastAsia="Arial" w:cs="Arial"/>
          <w:color w:val="000"/>
          <w:sz w:val="18"/>
          <w:szCs w:val="18"/>
        </w:rPr>
        <w:t xml:space="preserve">The </w:t>
      </w:r>
      <w:hyperlink r:id="rId7" w:history="1">
        <w:r>
          <w:rPr/>
          <w:t xml:space="preserve">National Interoperability Framework Observatory</w:t>
        </w:r>
      </w:hyperlink>
      <w:r>
        <w:rPr>
          <w:rFonts w:ascii="Arial" w:hAnsi="Arial" w:eastAsia="Arial" w:cs="Arial"/>
          <w:color w:val="000"/>
          <w:sz w:val="18"/>
          <w:szCs w:val="18"/>
        </w:rPr>
        <w:t xml:space="preserve"> (NIFO) is thrilled to announce the availability of two eLearning modules on the </w:t>
      </w:r>
      <w:r>
        <w:rPr>
          <w:rFonts w:ascii="Arial" w:hAnsi="Arial" w:eastAsia="Arial" w:cs="Arial"/>
          <w:color w:val="000"/>
          <w:sz w:val="18"/>
          <w:szCs w:val="18"/>
          <w:b w:val="1"/>
          <w:bCs w:val="1"/>
        </w:rPr>
        <w:t xml:space="preserve">Interoperable Europe</w:t>
      </w:r>
      <w:r>
        <w:rPr>
          <w:rFonts w:ascii="Arial" w:hAnsi="Arial" w:eastAsia="Arial" w:cs="Arial"/>
          <w:color w:val="000"/>
          <w:sz w:val="18"/>
          <w:szCs w:val="18"/>
        </w:rPr>
        <w:t xml:space="preserve"> platform: one on the </w:t>
      </w:r>
      <w:r>
        <w:rPr>
          <w:rFonts w:ascii="Arial" w:hAnsi="Arial" w:eastAsia="Arial" w:cs="Arial"/>
          <w:color w:val="000"/>
          <w:sz w:val="18"/>
          <w:szCs w:val="18"/>
          <w:b w:val="1"/>
          <w:bCs w:val="1"/>
        </w:rPr>
        <w:t xml:space="preserve">European Interoperability Framework for Smart Cities and Communities (EIF4SCC) </w:t>
      </w:r>
      <w:r>
        <w:rPr>
          <w:rFonts w:ascii="Arial" w:hAnsi="Arial" w:eastAsia="Arial" w:cs="Arial"/>
          <w:color w:val="000"/>
          <w:sz w:val="18"/>
          <w:szCs w:val="18"/>
        </w:rPr>
        <w:t xml:space="preserve">(</w:t>
      </w:r>
      <w:hyperlink r:id="rId8" w:history="1">
        <w:r>
          <w:rPr/>
          <w:t xml:space="preserve">Part 1</w:t>
        </w:r>
      </w:hyperlink>
      <w:r>
        <w:rPr>
          <w:rFonts w:ascii="Arial" w:hAnsi="Arial" w:eastAsia="Arial" w:cs="Arial"/>
          <w:color w:val="000"/>
          <w:sz w:val="18"/>
          <w:szCs w:val="18"/>
        </w:rPr>
        <w:t xml:space="preserve"> and </w:t>
      </w:r>
      <w:hyperlink r:id="rId9" w:history="1">
        <w:r>
          <w:rPr/>
          <w:t xml:space="preserve">Part 2</w:t>
        </w:r>
      </w:hyperlink>
      <w:r>
        <w:rPr>
          <w:rFonts w:ascii="Arial" w:hAnsi="Arial" w:eastAsia="Arial" w:cs="Arial"/>
          <w:color w:val="000"/>
          <w:sz w:val="18"/>
          <w:szCs w:val="18"/>
        </w:rPr>
        <w:t xml:space="preserve">) and another one on the </w:t>
      </w:r>
      <w:r>
        <w:rPr>
          <w:rFonts w:ascii="Arial" w:hAnsi="Arial" w:eastAsia="Arial" w:cs="Arial"/>
          <w:color w:val="000"/>
          <w:sz w:val="18"/>
          <w:szCs w:val="18"/>
          <w:b w:val="1"/>
          <w:bCs w:val="1"/>
        </w:rPr>
        <w:t xml:space="preserve">Minimal Interoperability Mechanisms (MIMs) </w:t>
      </w:r>
      <w:r>
        <w:rPr>
          <w:rFonts w:ascii="Arial" w:hAnsi="Arial" w:eastAsia="Arial" w:cs="Arial"/>
          <w:color w:val="000"/>
          <w:sz w:val="18"/>
          <w:szCs w:val="18"/>
        </w:rPr>
        <w:t xml:space="preserve">(</w:t>
      </w:r>
      <w:hyperlink r:id="rId10" w:history="1">
        <w:r>
          <w:rPr/>
          <w:t xml:space="preserve">Part 1</w:t>
        </w:r>
      </w:hyperlink>
      <w:r>
        <w:rPr>
          <w:rFonts w:ascii="Arial" w:hAnsi="Arial" w:eastAsia="Arial" w:cs="Arial"/>
          <w:color w:val="000"/>
          <w:sz w:val="18"/>
          <w:szCs w:val="18"/>
        </w:rPr>
        <w:t xml:space="preserve"> and </w:t>
      </w:r>
      <w:hyperlink r:id="rId11" w:history="1">
        <w:r>
          <w:rPr/>
          <w:t xml:space="preserve">Part 2</w:t>
        </w:r>
      </w:hyperlink>
      <w:r>
        <w:rPr>
          <w:rFonts w:ascii="Arial" w:hAnsi="Arial" w:eastAsia="Arial" w:cs="Arial"/>
          <w:color w:val="000"/>
          <w:sz w:val="18"/>
          <w:szCs w:val="18"/>
        </w:rPr>
        <w:t xml:space="preserve">). Both comprehensive modules are designed to be completed in less than 20 minutes and are divided into two parts:</w:t>
      </w:r>
    </w:p>
    <w:p>
      <w:pPr>
        <w:numPr>
          <w:ilvl w:val="0"/>
          <w:numId w:val="1"/>
        </w:numPr>
      </w:pPr>
      <w:r>
        <w:rPr>
          <w:rFonts w:ascii="Arial" w:hAnsi="Arial" w:eastAsia="Arial" w:cs="Arial"/>
          <w:color w:val="000"/>
          <w:sz w:val="18"/>
          <w:szCs w:val="18"/>
          <w:b w:val="1"/>
          <w:bCs w:val="1"/>
        </w:rPr>
        <w:t xml:space="preserve">Theory</w:t>
      </w:r>
      <w:r>
        <w:rPr>
          <w:rFonts w:ascii="Arial" w:hAnsi="Arial" w:eastAsia="Arial" w:cs="Arial"/>
          <w:color w:val="000"/>
          <w:sz w:val="18"/>
          <w:szCs w:val="18"/>
        </w:rPr>
        <w:t xml:space="preserve">: This section provides a deep dive into the concepts, principles, elements, and recommendations that make up the EIF4SCC. It’s an opportunity to understand the theoretical underpinnings of the framework. It delves into the core objectives, capabilities, requirements, and mechanisms that make up the MIMs. The theoretical aspects of these mechanisms are elaborated in detail for comprehensive understanding.</w:t>
      </w:r>
    </w:p>
    <w:p>
      <w:pPr>
        <w:numPr>
          <w:ilvl w:val="0"/>
          <w:numId w:val="1"/>
        </w:numPr>
      </w:pPr>
      <w:r>
        <w:rPr>
          <w:rFonts w:ascii="Arial" w:hAnsi="Arial" w:eastAsia="Arial" w:cs="Arial"/>
          <w:color w:val="000"/>
          <w:sz w:val="18"/>
          <w:szCs w:val="18"/>
          <w:b w:val="1"/>
          <w:bCs w:val="1"/>
        </w:rPr>
        <w:t xml:space="preserve">Practical Application</w:t>
      </w:r>
      <w:r>
        <w:rPr>
          <w:rFonts w:ascii="Arial" w:hAnsi="Arial" w:eastAsia="Arial" w:cs="Arial"/>
          <w:color w:val="000"/>
          <w:sz w:val="18"/>
          <w:szCs w:val="18"/>
        </w:rPr>
        <w:t xml:space="preserve">: This section presents a real-life scenario featuring ‘Martina’ and ‘Pablo’ to demonstrate respectively how to effectively use the EIF4SCC framework in real-world situations and how to deal with the MIMs in practice It’s a hands-on approach to learning that bridges the gap between theory and practice.</w:t>
      </w:r>
    </w:p>
    <w:p>
      <w:pPr>
        <w:spacing w:line="288" w:lineRule="auto"/>
      </w:pPr>
      <w:r>
        <w:rPr>
          <w:rFonts w:ascii="Arial" w:hAnsi="Arial" w:eastAsia="Arial" w:cs="Arial"/>
          <w:color w:val="000"/>
          <w:sz w:val="18"/>
          <w:szCs w:val="18"/>
        </w:rPr>
        <w:t xml:space="preserve">The European Commission (DG DIGIT and DG CNECT) published the Proposal for a </w:t>
      </w:r>
      <w:hyperlink r:id="rId12" w:history="1">
        <w:r>
          <w:rPr/>
          <w:t xml:space="preserve">European Interoperability Framework for Smart Cities and Communities (EIF4SCC)</w:t>
        </w:r>
      </w:hyperlink>
      <w:r>
        <w:rPr>
          <w:rFonts w:ascii="Arial" w:hAnsi="Arial" w:eastAsia="Arial" w:cs="Arial"/>
          <w:color w:val="000"/>
          <w:sz w:val="18"/>
          <w:szCs w:val="18"/>
        </w:rPr>
        <w:t xml:space="preserve"> in 2022. </w:t>
      </w:r>
    </w:p>
    <w:p>
      <w:pPr>
        <w:spacing w:line="288" w:lineRule="auto"/>
      </w:pPr>
      <w:r>
        <w:rPr>
          <w:rFonts w:ascii="Arial" w:hAnsi="Arial" w:eastAsia="Arial" w:cs="Arial"/>
          <w:color w:val="000"/>
          <w:sz w:val="18"/>
          <w:szCs w:val="18"/>
        </w:rPr>
        <w:t xml:space="preserve">The EIF4SCC aims to provide </w:t>
      </w:r>
      <w:r>
        <w:rPr>
          <w:rFonts w:ascii="Arial" w:hAnsi="Arial" w:eastAsia="Arial" w:cs="Arial"/>
          <w:color w:val="000"/>
          <w:sz w:val="18"/>
          <w:szCs w:val="18"/>
          <w:b w:val="1"/>
          <w:bCs w:val="1"/>
        </w:rPr>
        <w:t xml:space="preserve">EU local administrations</w:t>
      </w:r>
      <w:r>
        <w:rPr>
          <w:rFonts w:ascii="Arial" w:hAnsi="Arial" w:eastAsia="Arial" w:cs="Arial"/>
          <w:color w:val="000"/>
          <w:sz w:val="18"/>
          <w:szCs w:val="18"/>
        </w:rPr>
        <w:t xml:space="preserve"> with </w:t>
      </w:r>
      <w:r>
        <w:rPr>
          <w:rFonts w:ascii="Arial" w:hAnsi="Arial" w:eastAsia="Arial" w:cs="Arial"/>
          <w:color w:val="000"/>
          <w:sz w:val="18"/>
          <w:szCs w:val="18"/>
          <w:b w:val="1"/>
          <w:bCs w:val="1"/>
        </w:rPr>
        <w:t xml:space="preserve">definitions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principles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recommendations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practical use cases</w:t>
      </w:r>
      <w:r>
        <w:rPr>
          <w:rFonts w:ascii="Arial" w:hAnsi="Arial" w:eastAsia="Arial" w:cs="Arial"/>
          <w:color w:val="000"/>
          <w:sz w:val="18"/>
          <w:szCs w:val="18"/>
        </w:rPr>
        <w:t xml:space="preserve"> drawn from cities and communities from around Europe and beyond, and a </w:t>
      </w:r>
      <w:r>
        <w:rPr>
          <w:rFonts w:ascii="Arial" w:hAnsi="Arial" w:eastAsia="Arial" w:cs="Arial"/>
          <w:color w:val="000"/>
          <w:sz w:val="18"/>
          <w:szCs w:val="18"/>
          <w:b w:val="1"/>
          <w:bCs w:val="1"/>
        </w:rPr>
        <w:t xml:space="preserve">common model to facilitate delivery of services</w:t>
      </w:r>
      <w:r>
        <w:rPr>
          <w:rFonts w:ascii="Arial" w:hAnsi="Arial" w:eastAsia="Arial" w:cs="Arial"/>
          <w:color w:val="000"/>
          <w:sz w:val="18"/>
          <w:szCs w:val="18"/>
        </w:rPr>
        <w:t xml:space="preserve"> to the public across domains, cities, regions and borders.</w:t>
      </w:r>
    </w:p>
    <w:p>
      <w:pPr>
        <w:spacing w:line="288" w:lineRule="auto"/>
      </w:pPr>
      <w:hyperlink r:id="rId13" w:history="1">
        <w:r>
          <w:rPr/>
          <w:t xml:space="preserve">The Minimal Interoperability Mechanisms (MIMs)</w:t>
        </w:r>
      </w:hyperlink>
      <w:r>
        <w:rPr>
          <w:rFonts w:ascii="Arial" w:hAnsi="Arial" w:eastAsia="Arial" w:cs="Arial"/>
          <w:color w:val="000"/>
          <w:sz w:val="18"/>
          <w:szCs w:val="18"/>
        </w:rPr>
        <w:t xml:space="preserve"> ensure seamless delivery of services across different domains, cities, regions, and borders. Developed and continuously updated by the Open &amp; Agile Smart Cities (OASC) Council of Cities, MIMs allow more interoperability through the standardisation of data models, APIs, and protocols. </w:t>
      </w:r>
    </w:p>
    <w:p>
      <w:pPr>
        <w:spacing w:line="288" w:lineRule="auto"/>
      </w:pPr>
      <w:r>
        <w:rPr>
          <w:rFonts w:ascii="Arial" w:hAnsi="Arial" w:eastAsia="Arial" w:cs="Arial"/>
          <w:color w:val="000"/>
          <w:sz w:val="18"/>
          <w:szCs w:val="18"/>
        </w:rPr>
        <w:t xml:space="preserve">These eLearning modules are a step towards </w:t>
      </w:r>
      <w:r>
        <w:rPr>
          <w:rFonts w:ascii="Arial" w:hAnsi="Arial" w:eastAsia="Arial" w:cs="Arial"/>
          <w:color w:val="000"/>
          <w:sz w:val="18"/>
          <w:szCs w:val="18"/>
          <w:b w:val="1"/>
          <w:bCs w:val="1"/>
        </w:rPr>
        <w:t xml:space="preserve">creating smarter, more connected communities</w:t>
      </w:r>
      <w:r>
        <w:rPr>
          <w:rFonts w:ascii="Arial" w:hAnsi="Arial" w:eastAsia="Arial" w:cs="Arial"/>
          <w:color w:val="000"/>
          <w:sz w:val="18"/>
          <w:szCs w:val="18"/>
        </w:rPr>
        <w:t xml:space="preserve"> by providing </w:t>
      </w:r>
      <w:r>
        <w:rPr>
          <w:rFonts w:ascii="Arial" w:hAnsi="Arial" w:eastAsia="Arial" w:cs="Arial"/>
          <w:color w:val="000"/>
          <w:sz w:val="18"/>
          <w:szCs w:val="18"/>
          <w:b w:val="1"/>
          <w:bCs w:val="1"/>
        </w:rPr>
        <w:t xml:space="preserve">guidance and standards</w:t>
      </w:r>
      <w:r>
        <w:rPr>
          <w:rFonts w:ascii="Arial" w:hAnsi="Arial" w:eastAsia="Arial" w:cs="Arial"/>
          <w:color w:val="000"/>
          <w:sz w:val="18"/>
          <w:szCs w:val="18"/>
        </w:rPr>
        <w:t xml:space="preserve"> to facilitate </w:t>
      </w:r>
      <w:r>
        <w:rPr>
          <w:rFonts w:ascii="Arial" w:hAnsi="Arial" w:eastAsia="Arial" w:cs="Arial"/>
          <w:color w:val="000"/>
          <w:sz w:val="18"/>
          <w:szCs w:val="18"/>
          <w:b w:val="1"/>
          <w:bCs w:val="1"/>
        </w:rPr>
        <w:t xml:space="preserve">the development of digital public services</w:t>
      </w:r>
      <w:r>
        <w:rPr>
          <w:rFonts w:ascii="Arial" w:hAnsi="Arial" w:eastAsia="Arial" w:cs="Arial"/>
          <w:color w:val="000"/>
          <w:sz w:val="18"/>
          <w:szCs w:val="18"/>
        </w:rPr>
        <w:t xml:space="preserve"> across domains, cities, regions and borders.  It’s a key step towards creating a truly interconnected digital single market in the EU. We invite you to embark on this journey with us!</w:t>
      </w:r>
    </w:p>
    <w:p>
      <w:pPr>
        <w:spacing w:line="288" w:lineRule="auto"/>
      </w:pPr>
      <w:r>
        <w:rPr>
          <w:rFonts w:ascii="Arial" w:hAnsi="Arial" w:eastAsia="Arial" w:cs="Arial"/>
          <w:color w:val="000"/>
          <w:sz w:val="18"/>
          <w:szCs w:val="18"/>
          <w:b w:val="1"/>
          <w:bCs w:val="1"/>
          <w:i w:val="1"/>
          <w:iCs w:val="1"/>
        </w:rPr>
        <w:t xml:space="preserve">Curious to know more about how interoperability can support smart cities and communities? Additional resources are available </w:t>
      </w:r>
      <w:hyperlink r:id="rId14" w:history="1">
        <w:r>
          <w:rPr/>
          <w:t xml:space="preserve">here</w:t>
        </w:r>
      </w:hyperlink>
      <w:r>
        <w:rPr>
          <w:rFonts w:ascii="Arial" w:hAnsi="Arial" w:eastAsia="Arial" w:cs="Arial"/>
          <w:color w:val="000"/>
          <w:sz w:val="18"/>
          <w:szCs w:val="18"/>
          <w:b w:val="1"/>
          <w:bCs w:val="1"/>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057F2F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nifo-national-interoperability-framework-observatory" TargetMode="External"/><Relationship Id="rId8" Type="http://schemas.openxmlformats.org/officeDocument/2006/relationships/hyperlink" Target="https://urldefense.com/v3/__https://www.youtube.com/watch?v=2woIa_9gHSI__;!!NEMsmePo_HYI!chR1ZPW-41gXoUGsERf-tTYZLvTk961GANpVkDHQ7yu_vAFGva0u_RvljkofM_io8-0gwcvSCjOYOpWGQ6sWM3yX-fNiKJgSSX1pB8y6glQ$" TargetMode="External"/><Relationship Id="rId9" Type="http://schemas.openxmlformats.org/officeDocument/2006/relationships/hyperlink" Target="https://urldefense.com/v3/__https://www.youtube.com/watch?v=DNwurTXtYv8&amp;t=5s__;!!NEMsmePo_HYI!chR1ZPW-41gXoUGsERf-tTYZLvTk961GANpVkDHQ7yu_vAFGva0u_RvljkofM_io8-0gwcvSCjOYOpWGQ6sWM3yX-fNiKJgSSX1pY4n4Vz0$" TargetMode="External"/><Relationship Id="rId10" Type="http://schemas.openxmlformats.org/officeDocument/2006/relationships/hyperlink" Target="https://urldefense.com/v3/__https://www.youtube.com/watch?v=lDDPiNUFIX0&amp;t=3s__;!!NEMsmePo_HYI!chR1ZPW-41gXoUGsERf-tTYZLvTk961GANpVkDHQ7yu_vAFGva0u_RvljkofM_io8-0gwcvSCjOYOpWGQ6sWM3yX-fNiKJgSSX1pWyV1h0c$" TargetMode="External"/><Relationship Id="rId11" Type="http://schemas.openxmlformats.org/officeDocument/2006/relationships/hyperlink" Target="https://urldefense.com/v3/__https://www.youtube.com/watch?v=uXn3ytm8sPg&amp;t=4s__;!!NEMsmePo_HYI!chR1ZPW-41gXoUGsERf-tTYZLvTk961GANpVkDHQ7yu_vAFGva0u_RvljkofM_io8-0gwcvSCjOYOpWGQ6sWM3yX-fNiKJgSSX1pOozQHzI$" TargetMode="External"/><Relationship Id="rId12" Type="http://schemas.openxmlformats.org/officeDocument/2006/relationships/hyperlink" Target="https://op.europa.eu/en/publication-detail/-/publication/5d6fb867-672f-11ed-b14f-01aa75ed71a1" TargetMode="External"/><Relationship Id="rId13" Type="http://schemas.openxmlformats.org/officeDocument/2006/relationships/hyperlink" Target="https://oascities.org/minimal-interoperability-mechanisms/" TargetMode="External"/><Relationship Id="rId14" Type="http://schemas.openxmlformats.org/officeDocument/2006/relationships/hyperlink" Target="https://joinup.ec.europa.eu/collection/nifo-national-interoperability-framework-observatory/interoperability-smart-c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2026-07-21T12:11:23+02:00</dcterms:created>
  <dcterms:modified xsi:type="dcterms:W3CDTF">2026-07-21T12:11:23+02:00</dcterms:modified>
</cp:coreProperties>
</file>

<file path=docProps/custom.xml><?xml version="1.0" encoding="utf-8"?>
<Properties xmlns="http://schemas.openxmlformats.org/officeDocument/2006/custom-properties" xmlns:vt="http://schemas.openxmlformats.org/officeDocument/2006/docPropsVTypes"/>
</file>