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Luxembourg Institute of Science and Technology (LIST) Digital Twin Innovation Centre </w:t>
      </w:r>
    </w:p>
    <w:p>
      <w:pPr/>
    </w:p>
    <w:p>
      <w:pPr>
        <w:spacing w:line="288" w:lineRule="auto"/>
      </w:pPr>
      <w:r>
        <w:rPr>
          <w:rFonts w:ascii="Arial" w:hAnsi="Arial" w:eastAsia="Arial" w:cs="Arial"/>
          <w:color w:val="000"/>
          <w:sz w:val="18"/>
          <w:szCs w:val="18"/>
        </w:rPr>
        <w:t xml:space="preserve">LIST is heavily involved in the development of smart cities and communities both locally in Luxembourg but also at the EU level, in particular through its implication in CitCom.ai as management entity for the project operations (i.e., AI experiments in cities and communities) and its role as representative of Luxembourg as Member State in the LDT towards the CitiVERSE EDIC. LIST researchers contribute to different aspects in the smart communities ecosystems, starting from data management and software advances in the field of Local Digital Twin platforms but also producing relevant models in different sectoral topics inherent to the domain of smart cities, including mobility, environmental monitoring, urban planning, logistics, among others. Additionally, LIST has very strong competences in the methodological aspects related to collaborative and participatory decision making and the design and implementation of impactful demonstration platforms, using advance large scale visualisation and immersive environments.  </w:t>
      </w:r>
    </w:p>
    <w:p>
      <w:pPr>
        <w:spacing w:line="288" w:lineRule="auto"/>
      </w:pPr>
      <w:r>
        <w:rPr>
          <w:rFonts w:ascii="Arial" w:hAnsi="Arial" w:eastAsia="Arial" w:cs="Arial"/>
          <w:color w:val="000"/>
          <w:sz w:val="18"/>
          <w:szCs w:val="18"/>
          <w:b w:val="1"/>
          <w:bCs w:val="1"/>
        </w:rPr>
        <w:t xml:space="preserve">Contact person:</w:t>
      </w:r>
    </w:p>
    <w:p>
      <w:pPr>
        <w:spacing w:line="288" w:lineRule="auto"/>
      </w:pPr>
      <w:r>
        <w:rPr>
          <w:rFonts w:ascii="Arial" w:hAnsi="Arial" w:eastAsia="Arial" w:cs="Arial"/>
          <w:color w:val="000"/>
          <w:sz w:val="18"/>
          <w:szCs w:val="18"/>
        </w:rPr>
        <w:t xml:space="preserve">German Castignani, Digital Twin Innovation Centre Manager</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2026-04-30T10:52:47+02:00</dcterms:created>
  <dcterms:modified xsi:type="dcterms:W3CDTF">2026-04-30T10:52:47+02:00</dcterms:modified>
</cp:coreProperties>
</file>

<file path=docProps/custom.xml><?xml version="1.0" encoding="utf-8"?>
<Properties xmlns="http://schemas.openxmlformats.org/officeDocument/2006/custom-properties" xmlns:vt="http://schemas.openxmlformats.org/officeDocument/2006/docPropsVTypes"/>
</file>