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Regions Close to You: Community engagement to lead the green and digital transitions in cities and regions</w:t>
      </w:r>
    </w:p>
    <w:p>
      <w:pPr/>
    </w:p>
    <w:p>
      <w:pPr>
        <w:spacing w:line="288" w:lineRule="auto"/>
      </w:pPr>
      <w:r>
        <w:rPr>
          <w:rFonts w:ascii="Arial" w:hAnsi="Arial" w:eastAsia="Arial" w:cs="Arial"/>
          <w:color w:val="000"/>
          <w:sz w:val="18"/>
          <w:szCs w:val="18"/>
        </w:rPr>
        <w:t xml:space="preserve">We are pleased to invite you to our EU Regions Close to You upcoming online workshop: </w:t>
      </w:r>
      <w:r>
        <w:rPr>
          <w:rFonts w:ascii="Arial" w:hAnsi="Arial" w:eastAsia="Arial" w:cs="Arial"/>
          <w:color w:val="000"/>
          <w:sz w:val="18"/>
          <w:szCs w:val="18"/>
          <w:b w:val="1"/>
          <w:bCs w:val="1"/>
        </w:rPr>
        <w:t xml:space="preserve">"Community Engagement to Lead the Green and Digital Transitions in Cities and Regions”. </w:t>
      </w:r>
      <w:r>
        <w:rPr>
          <w:rFonts w:ascii="Arial" w:hAnsi="Arial" w:eastAsia="Arial" w:cs="Arial"/>
          <w:color w:val="000"/>
          <w:sz w:val="18"/>
          <w:szCs w:val="18"/>
        </w:rPr>
        <w:t xml:space="preserve">During the event we will explore the vital role of community involvement in driving innovation for sustainable urban development. This event is free and open to everyone.</w:t>
      </w:r>
    </w:p>
    <w:p>
      <w:pPr>
        <w:spacing w:line="288" w:lineRule="auto"/>
      </w:pPr>
      <w:r>
        <w:rPr>
          <w:rFonts w:ascii="Arial" w:hAnsi="Arial" w:eastAsia="Arial" w:cs="Arial"/>
          <w:color w:val="000"/>
          <w:sz w:val="18"/>
          <w:szCs w:val="18"/>
          <w:b w:val="1"/>
          <w:bCs w:val="1"/>
        </w:rPr>
        <w:t xml:space="preserve">Event Overview:</w:t>
      </w:r>
    </w:p>
    <w:p>
      <w:pPr>
        <w:spacing w:line="288" w:lineRule="auto"/>
      </w:pPr>
      <w:r>
        <w:rPr>
          <w:rFonts w:ascii="Arial" w:hAnsi="Arial" w:eastAsia="Arial" w:cs="Arial"/>
          <w:color w:val="000"/>
          <w:sz w:val="18"/>
          <w:szCs w:val="18"/>
        </w:rPr>
        <w:t xml:space="preserve">This interactive workshop will focus on the latest strategies and tools for effective community engagement in the context of green and digital transitions. Participants will gain valuable insights from the EU-funded Urban Transitions Mission Centre (UTMC), CommuniCITY, and Go Li.EU projects, which have been at the forefront of implementing digital solutions and technological advancements in cities and regions across Europe.</w:t>
      </w:r>
    </w:p>
    <w:p>
      <w:pPr>
        <w:spacing w:line="288" w:lineRule="auto"/>
      </w:pPr>
      <w:r>
        <w:rPr>
          <w:rFonts w:ascii="Arial" w:hAnsi="Arial" w:eastAsia="Arial" w:cs="Arial"/>
          <w:color w:val="000"/>
          <w:sz w:val="18"/>
          <w:szCs w:val="18"/>
          <w:b w:val="1"/>
          <w:bCs w:val="1"/>
        </w:rPr>
        <w:t xml:space="preserve">Key Topics:</w:t>
      </w:r>
    </w:p>
    <w:p>
      <w:pPr>
        <w:numPr>
          <w:ilvl w:val="0"/>
          <w:numId w:val="1"/>
        </w:numPr>
      </w:pPr>
      <w:r>
        <w:rPr/>
        <w:t xml:space="preserve">Strategies for fostering citizen participation in green and digital transitions</w:t>
      </w:r>
    </w:p>
    <w:p>
      <w:pPr>
        <w:numPr>
          <w:ilvl w:val="0"/>
          <w:numId w:val="1"/>
        </w:numPr>
      </w:pPr>
      <w:r>
        <w:rPr/>
        <w:t xml:space="preserve">Success stories and key learnings from EU-funded projects</w:t>
      </w:r>
    </w:p>
    <w:p>
      <w:pPr>
        <w:numPr>
          <w:ilvl w:val="0"/>
          <w:numId w:val="1"/>
        </w:numPr>
      </w:pPr>
      <w:r>
        <w:rPr/>
        <w:t xml:space="preserve">Collaborative development of solutions for future implementation</w:t>
      </w:r>
    </w:p>
    <w:p>
      <w:pPr>
        <w:spacing w:line="288" w:lineRule="auto"/>
      </w:pPr>
      <w:r>
        <w:rPr>
          <w:rFonts w:ascii="Arial" w:hAnsi="Arial" w:eastAsia="Arial" w:cs="Arial"/>
          <w:color w:val="000"/>
          <w:sz w:val="18"/>
          <w:szCs w:val="18"/>
        </w:rPr>
        <w:t xml:space="preserve">This workshop is designed to facilitate knowledge exchange and collaborative problem-solving, so that participants gain insights on enhancing their community engagement efforts.</w:t>
      </w:r>
    </w:p>
    <w:p>
      <w:pPr>
        <w:spacing w:line="288" w:lineRule="auto"/>
      </w:pPr>
      <w:r>
        <w:rPr>
          <w:rFonts w:ascii="Arial" w:hAnsi="Arial" w:eastAsia="Arial" w:cs="Arial"/>
          <w:color w:val="000"/>
          <w:sz w:val="18"/>
          <w:szCs w:val="18"/>
          <w:b w:val="1"/>
          <w:bCs w:val="1"/>
        </w:rPr>
        <w:t xml:space="preserve">Event Details:</w:t>
      </w:r>
    </w:p>
    <w:p>
      <w:pPr>
        <w:numPr>
          <w:ilvl w:val="0"/>
          <w:numId w:val="2"/>
        </w:numPr>
      </w:pPr>
      <w:r>
        <w:rPr>
          <w:b w:val="1"/>
          <w:bCs w:val="1"/>
        </w:rPr>
        <w:t xml:space="preserve">Date:</w:t>
      </w:r>
      <w:r>
        <w:rPr/>
        <w:t xml:space="preserve"> Friday, 18.09.2024</w:t>
      </w:r>
    </w:p>
    <w:p>
      <w:pPr>
        <w:numPr>
          <w:ilvl w:val="0"/>
          <w:numId w:val="2"/>
        </w:numPr>
      </w:pPr>
      <w:r>
        <w:rPr>
          <w:b w:val="1"/>
          <w:bCs w:val="1"/>
        </w:rPr>
        <w:t xml:space="preserve">Time:</w:t>
      </w:r>
      <w:r>
        <w:rPr/>
        <w:t xml:space="preserve"> 10:00-11:30</w:t>
      </w:r>
    </w:p>
    <w:p>
      <w:pPr>
        <w:numPr>
          <w:ilvl w:val="0"/>
          <w:numId w:val="2"/>
        </w:numPr>
      </w:pPr>
      <w:r>
        <w:rPr>
          <w:b w:val="1"/>
          <w:bCs w:val="1"/>
        </w:rPr>
        <w:t xml:space="preserve">Platform:</w:t>
      </w:r>
      <w:r>
        <w:rPr/>
        <w:t xml:space="preserve"> Online (link provided upon registration)</w:t>
      </w:r>
    </w:p>
    <w:p>
      <w:pPr>
        <w:numPr>
          <w:ilvl w:val="0"/>
          <w:numId w:val="2"/>
        </w:numPr>
      </w:pPr>
      <w:r>
        <w:rPr>
          <w:b w:val="1"/>
          <w:bCs w:val="1"/>
        </w:rPr>
        <w:t xml:space="preserve">Free for all participants</w:t>
      </w:r>
    </w:p>
    <w:p>
      <w:pPr>
        <w:spacing w:line="288" w:lineRule="auto"/>
      </w:pPr>
      <w:hyperlink r:id="rId7" w:history="1">
        <w:r>
          <w:rPr>
            <w:b w:val="1"/>
            <w:bCs w:val="1"/>
          </w:rPr>
          <w:t xml:space="preserve">Register Now</w:t>
        </w:r>
      </w:hyperlink>
    </w:p>
    <w:p>
      <w:pPr>
        <w:spacing w:line="288" w:lineRule="auto"/>
      </w:pPr>
      <w:r>
        <w:rPr>
          <w:rFonts w:ascii="Arial" w:hAnsi="Arial" w:eastAsia="Arial" w:cs="Arial"/>
          <w:color w:val="000"/>
          <w:sz w:val="18"/>
          <w:szCs w:val="18"/>
          <w:b w:val="1"/>
          <w:bCs w:val="1"/>
        </w:rPr>
        <w:t xml:space="preserve">EU Region’s Page:</w:t>
      </w:r>
      <w:hyperlink r:id="rId8" w:history="1">
        <w:r>
          <w:rPr/>
          <w:t xml:space="preserve">https://regions-and-cities.europa.eu/programme/2024/side-events/37622</w:t>
        </w:r>
      </w:hyperlink>
    </w:p>
    <w:p>
      <w:pPr>
        <w:spacing w:line="288" w:lineRule="auto"/>
      </w:pPr>
      <w:r>
        <w:rPr>
          <w:rFonts w:ascii="Arial" w:hAnsi="Arial" w:eastAsia="Arial" w:cs="Arial"/>
          <w:color w:val="000"/>
          <w:sz w:val="18"/>
          <w:szCs w:val="18"/>
        </w:rPr>
        <w:t xml:space="preserve">Don’t miss this chance to contribute to the future of sustainable urban development! Register today to secure your spot and join the conversation on how communities can lead the way in the green and digital transitions.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4301C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C2A18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Hxu-O83EeECCf1fzwld3SdJwyK4vWhNLgnkn3Nm5x-NUQjJLV1ZCU0hHT0pXNDNZS1VHSVhER1hMRC4u" TargetMode="External"/><Relationship Id="rId8" Type="http://schemas.openxmlformats.org/officeDocument/2006/relationships/hyperlink" Target="https://regions-and-cities.europa.eu/programme/2024/side-events/376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2026-07-11T04:38:11+02:00</dcterms:created>
  <dcterms:modified xsi:type="dcterms:W3CDTF">2026-07-11T04:38:11+02:00</dcterms:modified>
</cp:coreProperties>
</file>

<file path=docProps/custom.xml><?xml version="1.0" encoding="utf-8"?>
<Properties xmlns="http://schemas.openxmlformats.org/officeDocument/2006/custom-properties" xmlns:vt="http://schemas.openxmlformats.org/officeDocument/2006/docPropsVTypes"/>
</file>