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Towns and Municipalities of the Czech Republic (SMO CR) </w:t>
      </w:r>
    </w:p>
    <w:p>
      <w:pPr/>
    </w:p>
    <w:p>
      <w:pPr>
        <w:spacing w:line="288" w:lineRule="auto"/>
      </w:pPr>
      <w:r>
        <w:rPr>
          <w:rFonts w:ascii="Arial" w:hAnsi="Arial" w:eastAsia="Arial" w:cs="Arial"/>
          <w:color w:val="000"/>
          <w:sz w:val="18"/>
          <w:szCs w:val="18"/>
        </w:rPr>
        <w:t xml:space="preserve">With research, funding initiatives and model projects in the topic field Smart Cities, the German Federal Government supports municipalities in strategically shaping digitalisation in terms of integrated, sustainable and common good oriented urban development. On behalf of the Federal Ministry for Housing, Urban Development and Building (BMWSB), the BBSR deals with questions of digital transformation in municipalities and analyses the potentials, opportunities and challenges of digitalisation for an integrated urban development.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Monika Štěpánová, Director of Regional Development, International relations and Projects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2026-07-07T18:11:09+02:00</dcterms:created>
  <dcterms:modified xsi:type="dcterms:W3CDTF">2026-07-07T18:11:09+02:00</dcterms:modified>
</cp:coreProperties>
</file>

<file path=docProps/custom.xml><?xml version="1.0" encoding="utf-8"?>
<Properties xmlns="http://schemas.openxmlformats.org/officeDocument/2006/custom-properties" xmlns:vt="http://schemas.openxmlformats.org/officeDocument/2006/docPropsVTypes"/>
</file>