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Cyprus Municipalities (UCM)</w:t>
      </w:r>
    </w:p>
    <w:p>
      <w:pPr/>
    </w:p>
    <w:p>
      <w:pPr>
        <w:spacing w:line="288" w:lineRule="auto"/>
      </w:pPr>
      <w:r>
        <w:rPr>
          <w:rFonts w:ascii="Arial" w:hAnsi="Arial" w:eastAsia="Arial" w:cs="Arial"/>
          <w:color w:val="000"/>
          <w:sz w:val="18"/>
          <w:szCs w:val="18"/>
        </w:rPr>
        <w:t xml:space="preserve">UCM’s current projects include (among others) the reform of the Local Authorities, the implementation of a Unified Central Electronic Governance System for all municipalities, the provision of training for capacity building for the staff and elected representatives of local authorities. Another UCM’s important task is to encourage and to provide guidance to the municipalities for preparing Strategic Plans for their sustainable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Ikaros Moushouttas, Head of Brussels Office of the Union of Cyprus Municipalities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2026-05-31T19:26:31+02:00</dcterms:created>
  <dcterms:modified xsi:type="dcterms:W3CDTF">2026-05-31T19:26:31+02:00</dcterms:modified>
</cp:coreProperties>
</file>

<file path=docProps/custom.xml><?xml version="1.0" encoding="utf-8"?>
<Properties xmlns="http://schemas.openxmlformats.org/officeDocument/2006/custom-properties" xmlns:vt="http://schemas.openxmlformats.org/officeDocument/2006/docPropsVTypes"/>
</file>