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DSSC Insight Series - Governance for Data Spaces</w:t>
      </w:r>
    </w:p>
    <w:p>
      <w:pP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for Data Spaces</w:t>
      </w:r>
      <w:r>
        <w:rPr>
          <w:rFonts w:ascii="Arial" w:hAnsi="Arial" w:eastAsia="Arial" w:cs="Arial"/>
          <w:color w:val="000"/>
          <w:sz w:val="18"/>
          <w:szCs w:val="18"/>
        </w:rPr>
        <w:t xml:space="preserve">" tackled the significance of effective data governance in smart cities and communities. The event, part of the DSSC Insight Series, was co-organized by DS4SSCC, DATES, PrepDSpace4Mobility and GREAT, collaborative projects funded by the European Commission. The webinar aimed to bring together stakeholders involved in data governance to discuss governance approaches and share experiences in managing data spaces. </w:t>
      </w:r>
    </w:p>
    <w:p>
      <w:pPr>
        <w:spacing w:line="288" w:lineRule="auto"/>
      </w:pPr>
      <w:r>
        <w:rPr>
          <w:rFonts w:ascii="Arial" w:hAnsi="Arial" w:eastAsia="Arial" w:cs="Arial"/>
          <w:lang w:val="EN-US"/>
          <w:color w:val="000"/>
          <w:sz w:val="18"/>
          <w:szCs w:val="18"/>
          <w:i w:val="1"/>
          <w:iCs w:val="1"/>
        </w:rPr>
        <w:t xml:space="preserve">Overview of Data Spaces and Governance Frameworks - Leona King, KU Leuven </w:t>
      </w:r>
      <w:r>
        <w:rPr>
          <w:rFonts w:ascii="Arial" w:hAnsi="Arial" w:eastAsia="Arial" w:cs="Arial"/>
          <w:color w:val="000"/>
          <w:sz w:val="18"/>
          <w:szCs w:val="18"/>
        </w:rPr>
        <w:t xml:space="preserve"> </w:t>
      </w:r>
    </w:p>
    <w:p>
      <w:pPr>
        <w:numPr>
          <w:ilvl w:val="0"/>
          <w:numId w:val="1"/>
        </w:numPr>
      </w:pPr>
      <w:r>
        <w:rPr>
          <w:rFonts w:ascii="Arial" w:hAnsi="Arial" w:eastAsia="Arial" w:cs="Arial"/>
          <w:lang w:val="EN-US"/>
          <w:color w:val="000"/>
          <w:sz w:val="18"/>
          <w:szCs w:val="18"/>
          <w:i w:val="1"/>
          <w:iCs w:val="1"/>
        </w:rPr>
        <w:t xml:space="preserve">Use-Case DATES: Tourism - Eric Pol, aNewGovernance</w:t>
      </w:r>
      <w:r>
        <w:rPr>
          <w:rFonts w:ascii="Arial" w:hAnsi="Arial" w:eastAsia="Arial" w:cs="Arial"/>
          <w:color w:val="000"/>
          <w:sz w:val="18"/>
          <w:szCs w:val="18"/>
        </w:rPr>
        <w:t xml:space="preserve"> </w:t>
      </w:r>
    </w:p>
    <w:p>
      <w:pPr>
        <w:numPr>
          <w:ilvl w:val="0"/>
          <w:numId w:val="2"/>
        </w:numPr>
      </w:pPr>
      <w:r>
        <w:rPr>
          <w:rFonts w:ascii="Arial" w:hAnsi="Arial" w:eastAsia="Arial" w:cs="Arial"/>
          <w:lang w:val="EN-US"/>
          <w:color w:val="000"/>
          <w:sz w:val="18"/>
          <w:szCs w:val="18"/>
          <w:i w:val="1"/>
          <w:iCs w:val="1"/>
        </w:rPr>
        <w:t xml:space="preserve">Use-Cases DS4SSCC: Sustainable Mobility &amp; Energy Flow Management - Justine Gangneux, Eurocities</w:t>
      </w:r>
      <w:r>
        <w:rPr>
          <w:rFonts w:ascii="Arial" w:hAnsi="Arial" w:eastAsia="Arial" w:cs="Arial"/>
          <w:color w:val="000"/>
          <w:sz w:val="18"/>
          <w:szCs w:val="18"/>
        </w:rPr>
        <w:t xml:space="preserve"> </w:t>
      </w:r>
    </w:p>
    <w:p>
      <w:pPr>
        <w:numPr>
          <w:ilvl w:val="0"/>
          <w:numId w:val="3"/>
        </w:numPr>
      </w:pPr>
      <w:r>
        <w:rPr>
          <w:rFonts w:ascii="Arial" w:hAnsi="Arial" w:eastAsia="Arial" w:cs="Arial"/>
          <w:lang w:val="EN-US"/>
          <w:color w:val="000"/>
          <w:sz w:val="18"/>
          <w:szCs w:val="18"/>
          <w:i w:val="1"/>
          <w:iCs w:val="1"/>
        </w:rPr>
        <w:t xml:space="preserve">Use-Case PrepDSpace4Mobility: Transport and Mobility - Charlotte Ducuing , KU Leuven</w:t>
      </w:r>
      <w:r>
        <w:rPr>
          <w:rFonts w:ascii="Arial" w:hAnsi="Arial" w:eastAsia="Arial" w:cs="Arial"/>
          <w:color w:val="000"/>
          <w:sz w:val="18"/>
          <w:szCs w:val="18"/>
        </w:rPr>
        <w:t xml:space="preserve"> </w:t>
      </w:r>
    </w:p>
    <w:p>
      <w:pPr>
        <w:numPr>
          <w:ilvl w:val="0"/>
          <w:numId w:val="4"/>
        </w:numPr>
      </w:pPr>
      <w:r>
        <w:rPr>
          <w:rFonts w:ascii="Arial" w:hAnsi="Arial" w:eastAsia="Arial" w:cs="Arial"/>
          <w:lang w:val="EN-US"/>
          <w:color w:val="000"/>
          <w:sz w:val="18"/>
          <w:szCs w:val="18"/>
          <w:i w:val="1"/>
          <w:iCs w:val="1"/>
        </w:rPr>
        <w:t xml:space="preserve">Use-Case GREAT: Pollution - Sergio Cinnirella, IIA CNR</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Data spaces are defined by the Data Space Support Centre (DSSC), as infrastructures that enable data transactions between different data ecosystem parties based on a governance framework. They hold immense potential for sharing large pools of data and developing data-driven services in key sectors. The webinar showcased real-world use-cases from projects focusing on sustainable mobility, energy flow management, pollution, and tourism, providing valuable insights into effective governance guidelines for data spaces.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FCA75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6A1A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AEE57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14ABD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2026-10-11T14:40:05+02:00</dcterms:created>
  <dcterms:modified xsi:type="dcterms:W3CDTF">2026-10-11T14:40:05+02:00</dcterms:modified>
</cp:coreProperties>
</file>

<file path=docProps/custom.xml><?xml version="1.0" encoding="utf-8"?>
<Properties xmlns="http://schemas.openxmlformats.org/officeDocument/2006/custom-properties" xmlns:vt="http://schemas.openxmlformats.org/officeDocument/2006/docPropsVTypes"/>
</file>