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Hub, developed by the Data Spaces for Smart &amp; Sustainable Cities and Communities project, stands as a cornerstone initiative offering concise video lessons and supporting materials. Tailored for public managers, practitioners, and stakeholders, this program comprises four essential lessons:</w:t>
      </w:r>
    </w:p>
    <w:p>
      <w:pPr>
        <w:numPr>
          <w:ilvl w:val="0"/>
          <w:numId w:val="1"/>
        </w:numPr>
      </w:pPr>
      <w:r>
        <w:rPr/>
        <w:t xml:space="preserve">Lesson 1 - The Broader Picture, including</w:t>
      </w:r>
      <w:br/>
      <w:r>
        <w:rPr/>
        <w:t xml:space="preserve">	- Introduction to Data Spaces in Smart Cities and Communities.</w:t>
      </w:r>
      <w:br/>
      <w:r>
        <w:rPr/>
        <w:t xml:space="preserve">	- Introduction to MIMs (Minimal Interoperability Mechanisms) and their role in data spaces</w:t>
      </w:r>
    </w:p>
    <w:p>
      <w:pPr>
        <w:numPr>
          <w:ilvl w:val="0"/>
          <w:numId w:val="1"/>
        </w:numPr>
      </w:pPr>
      <w:r>
        <w:rPr/>
        <w:t xml:space="preserve">Lesson 2: The Technical Blueprint</w:t>
      </w:r>
    </w:p>
    <w:p>
      <w:pPr>
        <w:numPr>
          <w:ilvl w:val="0"/>
          <w:numId w:val="1"/>
        </w:numPr>
      </w:pPr>
      <w:r>
        <w:rPr/>
        <w:t xml:space="preserve">Lesson 3: Multi-Stakeholder Governance Scheme and Stakeholder Engagement that includes</w:t>
      </w:r>
      <w:br/>
      <w:r>
        <w:rPr/>
        <w:t xml:space="preserve">	- Introducing 'the Data Cooperation Canvas': A tool for multi-stakeholder governance schemes in data spaces.</w:t>
      </w:r>
      <w:br/>
      <w:r>
        <w:rPr/>
        <w:t xml:space="preserve">	- Applying the Living Lab approach to Data Spaces to foster stakeholder engagement and collaboration.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4 - Use Cases &amp; Priority Data Sets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990C7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2026-05-24T02:21:29+02:00</dcterms:created>
  <dcterms:modified xsi:type="dcterms:W3CDTF">2026-05-24T02:21:29+02:00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