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Dutch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training materials have been designed to assist Dutch municipalities in their journey towards digital transformation. Developed as part of the '</w:t>
      </w:r>
      <w:hyperlink r:id="rId7" w:history="1">
        <w:r>
          <w:rPr/>
          <w:t xml:space="preserve">Support services for EU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', these sessions provide a platform for networking, learning about digital solutions and funding perspectives, and understanding EU digital policies.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Led by Wouter Heijnen, the national contact point for the project on behalf of the VNG, the </w:t>
      </w:r>
      <w:hyperlink r:id="rId8" w:history="1">
        <w:r>
          <w:rPr/>
          <w:t xml:space="preserve">Dutch training sessions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offer exclusive insights for municipalities to explore tools, funding opportunities, and EU policies.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789" TargetMode="External"/><Relationship Id="rId8" Type="http://schemas.openxmlformats.org/officeDocument/2006/relationships/hyperlink" Target="https://living-in.eu/events/local-digital-twins-increasing-digitalisation-awareness-and-readiness-dut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2026-08-06T12:02:18+02:00</dcterms:created>
  <dcterms:modified xsi:type="dcterms:W3CDTF">2026-08-06T12:02:18+02:00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