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Dutch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training materials have been designed to assist Dutch municipalities in their journey towards digital transformation. Developed as part of the '</w:t>
      </w:r>
      <w:hyperlink r:id="rId7" w:history="1">
        <w:r>
          <w:rPr/>
          <w:t xml:space="preserve">Support services for EU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', these sessions provide a platform for networking, learning about digital solutions and funding perspectives, and understanding EU digital policies.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Led by Wouter Heijnen, the national contact point for the project on behalf of the VNG, the </w:t>
      </w:r>
      <w:hyperlink r:id="rId8" w:history="1">
        <w:r>
          <w:rPr/>
          <w:t xml:space="preserve">Dutch training sessions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offer exclusive insights for municipalities to explore tools, funding opportunities, and EU policies.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789" TargetMode="External"/><Relationship Id="rId8" Type="http://schemas.openxmlformats.org/officeDocument/2006/relationships/hyperlink" Target="https://living-in.eu/events/local-digital-twins-increasing-digitalisation-awareness-and-readiness-dut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2026-09-09T17:12:56+02:00</dcterms:created>
  <dcterms:modified xsi:type="dcterms:W3CDTF">2026-09-09T17:12:56+02:00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