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Dutch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training materials have been designed to assist Dutch municipalities in their journey towards digital transformation. Developed as part of the '</w:t>
      </w:r>
      <w:hyperlink r:id="rId7" w:history="1">
        <w:r>
          <w:rPr/>
          <w:t xml:space="preserve">Support services for EU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', these sessions provide a platform for networking, learning about digital solutions and funding perspectives, and understanding EU digital policies.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Led by Wouter Heijnen, the national contact point for the project on behalf of the VNG, the </w:t>
      </w:r>
      <w:hyperlink r:id="rId8" w:history="1">
        <w:r>
          <w:rPr/>
          <w:t xml:space="preserve">Dutch training sessions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offer exclusive insights for municipalities to explore tools, funding opportunities, and EU policies.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789" TargetMode="External"/><Relationship Id="rId8" Type="http://schemas.openxmlformats.org/officeDocument/2006/relationships/hyperlink" Target="https://living-in.eu/events/local-digital-twins-increasing-digitalisation-awareness-and-readiness-dut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2026-05-22T18:42:47+02:00</dcterms:created>
  <dcterms:modified xsi:type="dcterms:W3CDTF">2026-05-22T18:42:47+02:00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