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OASC Summit 2024</w:t>
      </w:r>
    </w:p>
    <w:p>
      <w:pPr/>
    </w:p>
    <w:p>
      <w:pPr>
        <w:spacing w:line="288" w:lineRule="auto"/>
      </w:pPr>
      <w:r>
        <w:rPr>
          <w:rFonts w:ascii="Arial" w:hAnsi="Arial" w:eastAsia="Arial" w:cs="Arial"/>
          <w:color w:val="000"/>
          <w:sz w:val="18"/>
          <w:szCs w:val="18"/>
        </w:rPr>
        <w:t xml:space="preserve">The Open &amp; Agile Smart Cities &amp; Communities (OASC) network is proud to host its annual Summit on the 3rd and 4th of June 2024 in Rotterdam! This year’s theme, </w:t>
      </w:r>
      <w:r>
        <w:rPr>
          <w:rFonts w:ascii="Arial" w:hAnsi="Arial" w:eastAsia="Arial" w:cs="Arial"/>
          <w:color w:val="000"/>
          <w:sz w:val="18"/>
          <w:szCs w:val="18"/>
          <w:b w:val="1"/>
          <w:bCs w:val="1"/>
        </w:rPr>
        <w:t xml:space="preserve">connecting local digital ecosystems through interoperability, </w:t>
      </w:r>
      <w:r>
        <w:rPr>
          <w:rFonts w:ascii="Arial" w:hAnsi="Arial" w:eastAsia="Arial" w:cs="Arial"/>
          <w:color w:val="000"/>
          <w:sz w:val="18"/>
          <w:szCs w:val="18"/>
        </w:rPr>
        <w:t xml:space="preserve">highlights our commitment to support cities and local communities to collaborate on digital transformation via the fluent sharing of data in and between cities and local communities. We’ll look into the </w:t>
      </w:r>
      <w:r>
        <w:rPr>
          <w:rFonts w:ascii="Arial" w:hAnsi="Arial" w:eastAsia="Arial" w:cs="Arial"/>
          <w:color w:val="000"/>
          <w:sz w:val="18"/>
          <w:szCs w:val="18"/>
          <w:b w:val="1"/>
          <w:bCs w:val="1"/>
        </w:rPr>
        <w:t xml:space="preserve">strategies, processes and technologies</w:t>
      </w:r>
      <w:r>
        <w:rPr>
          <w:rFonts w:ascii="Arial" w:hAnsi="Arial" w:eastAsia="Arial" w:cs="Arial"/>
          <w:color w:val="000"/>
          <w:sz w:val="18"/>
          <w:szCs w:val="18"/>
        </w:rPr>
        <w:t xml:space="preserve"> that can help cities to do that.</w:t>
      </w:r>
    </w:p>
    <w:p>
      <w:pPr>
        <w:spacing w:line="288" w:lineRule="auto"/>
      </w:pPr>
      <w:r>
        <w:rPr>
          <w:rFonts w:ascii="Arial" w:hAnsi="Arial" w:eastAsia="Arial" w:cs="Arial"/>
          <w:color w:val="000"/>
          <w:sz w:val="18"/>
          <w:szCs w:val="18"/>
          <w:b w:val="1"/>
          <w:bCs w:val="1"/>
        </w:rPr>
        <w:t xml:space="preserve">The main goal is to align as many cities as possible into that philosophy and concept and help cities to overcome the hurdles that block them from interoperability.</w:t>
      </w:r>
      <w:br/>
      <w:br/>
      <w:r>
        <w:rPr>
          <w:rFonts w:ascii="Arial" w:hAnsi="Arial" w:eastAsia="Arial" w:cs="Arial"/>
          <w:color w:val="000"/>
          <w:sz w:val="18"/>
          <w:szCs w:val="18"/>
          <w:b w:val="1"/>
          <w:bCs w:val="1"/>
        </w:rPr>
        <w:t xml:space="preserve">The essence of interoperability</w:t>
      </w:r>
    </w:p>
    <w:p>
      <w:pPr>
        <w:spacing w:line="288" w:lineRule="auto"/>
      </w:pPr>
      <w:r>
        <w:rPr>
          <w:rFonts w:ascii="Arial" w:hAnsi="Arial" w:eastAsia="Arial" w:cs="Arial"/>
          <w:color w:val="000"/>
          <w:sz w:val="18"/>
          <w:szCs w:val="18"/>
        </w:rPr>
        <w:t xml:space="preserve">Interoperability is the basic pillar for digital transition. It is not only about the mere technical capability of different systems to communicate, it reflects the organisational cooperation, a shared mindset for innovation and collaboration and the smooth exchange of information. It encompasses the conceptual aspect, the method and strategy and software &amp; operational facets.</w:t>
      </w:r>
    </w:p>
    <w:p>
      <w:pPr>
        <w:spacing w:line="288" w:lineRule="auto"/>
      </w:pPr>
      <w:r>
        <w:rPr>
          <w:rFonts w:ascii="Arial" w:hAnsi="Arial" w:eastAsia="Arial" w:cs="Arial"/>
          <w:color w:val="000"/>
          <w:sz w:val="18"/>
          <w:szCs w:val="18"/>
          <w:b w:val="1"/>
          <w:bCs w:val="1"/>
        </w:rPr>
        <w:t xml:space="preserve">Global and local perspectives, from the strategic to the operational and technical level</w:t>
      </w:r>
    </w:p>
    <w:p>
      <w:pPr>
        <w:spacing w:line="288" w:lineRule="auto"/>
      </w:pPr>
      <w:r>
        <w:rPr>
          <w:rFonts w:ascii="Arial" w:hAnsi="Arial" w:eastAsia="Arial" w:cs="Arial"/>
          <w:color w:val="000"/>
          <w:sz w:val="18"/>
          <w:szCs w:val="18"/>
        </w:rPr>
        <w:t xml:space="preserve">Our Summit explores the different layers of interoperability and scrutinizes what is needed for a city or local community to take steps in the field of data and knowledge sharing and communicating systems.</w:t>
      </w:r>
    </w:p>
    <w:p>
      <w:pPr>
        <w:spacing w:line="288" w:lineRule="auto"/>
      </w:pPr>
      <w:r>
        <w:rPr>
          <w:rFonts w:ascii="Arial" w:hAnsi="Arial" w:eastAsia="Arial" w:cs="Arial"/>
          <w:color w:val="000"/>
          <w:sz w:val="18"/>
          <w:szCs w:val="18"/>
        </w:rPr>
        <w:t xml:space="preserve">What to expect:</w:t>
      </w:r>
    </w:p>
    <w:p>
      <w:pPr>
        <w:numPr>
          <w:ilvl w:val="0"/>
          <w:numId w:val="1"/>
        </w:numPr>
      </w:pPr>
      <w:r>
        <w:rPr>
          <w:b w:val="1"/>
          <w:bCs w:val="1"/>
        </w:rPr>
        <w:t xml:space="preserve">General Assembly</w:t>
      </w:r>
      <w:r>
        <w:rPr/>
        <w:t xml:space="preserve"> where we will formally approve the update version of the MIMs</w:t>
      </w:r>
    </w:p>
    <w:p>
      <w:pPr>
        <w:numPr>
          <w:ilvl w:val="0"/>
          <w:numId w:val="1"/>
        </w:numPr>
      </w:pPr>
      <w:r>
        <w:rPr>
          <w:b w:val="1"/>
          <w:bCs w:val="1"/>
        </w:rPr>
        <w:t xml:space="preserve">Keynote speakers and demonstrations of practical use cases</w:t>
      </w:r>
      <w:r>
        <w:rPr/>
        <w:t xml:space="preserve"> in the field of sustainable mobility, procurement strategies and health care</w:t>
      </w:r>
    </w:p>
    <w:p>
      <w:pPr>
        <w:numPr>
          <w:ilvl w:val="0"/>
          <w:numId w:val="1"/>
        </w:numPr>
      </w:pPr>
      <w:r>
        <w:rPr>
          <w:b w:val="1"/>
          <w:bCs w:val="1"/>
        </w:rPr>
        <w:t xml:space="preserve">Interactive sessions</w:t>
      </w:r>
      <w:r>
        <w:rPr/>
        <w:t xml:space="preserve"> where other tools such as a digital roadmap, digital assessment tool and much more will be discussed!</w:t>
      </w:r>
    </w:p>
    <w:p>
      <w:pPr>
        <w:numPr>
          <w:ilvl w:val="0"/>
          <w:numId w:val="1"/>
        </w:numPr>
      </w:pPr>
      <w:r>
        <w:rPr>
          <w:b w:val="1"/>
          <w:bCs w:val="1"/>
        </w:rPr>
        <w:t xml:space="preserve">Endless networking opportunities!</w:t>
      </w:r>
    </w:p>
    <w:p>
      <w:pPr>
        <w:spacing w:line="288" w:lineRule="auto"/>
      </w:pPr>
      <w:r>
        <w:rPr>
          <w:rFonts w:ascii="Arial" w:hAnsi="Arial" w:eastAsia="Arial" w:cs="Arial"/>
          <w:color w:val="000"/>
          <w:sz w:val="18"/>
          <w:szCs w:val="18"/>
        </w:rPr>
        <w:t xml:space="preserve">Topics:</w:t>
      </w:r>
    </w:p>
    <w:p>
      <w:pPr>
        <w:numPr>
          <w:ilvl w:val="0"/>
          <w:numId w:val="2"/>
        </w:numPr>
      </w:pPr>
      <w:r>
        <w:rPr/>
        <w:t xml:space="preserve">A dive into the </w:t>
      </w:r>
      <w:r>
        <w:rPr>
          <w:b w:val="1"/>
          <w:bCs w:val="1"/>
        </w:rPr>
        <w:t xml:space="preserve">global and European political landscape</w:t>
      </w:r>
      <w:r>
        <w:rPr/>
        <w:t xml:space="preserve"> where legal frameworks and initiatives that shape the digital playing field are coined.</w:t>
      </w:r>
    </w:p>
    <w:p>
      <w:pPr>
        <w:numPr>
          <w:ilvl w:val="0"/>
          <w:numId w:val="2"/>
        </w:numPr>
      </w:pPr>
      <w:r>
        <w:rPr>
          <w:b w:val="1"/>
          <w:bCs w:val="1"/>
        </w:rPr>
        <w:t xml:space="preserve">Dissection of the processes</w:t>
      </w:r>
      <w:r>
        <w:rPr/>
        <w:t xml:space="preserve"> required at the local level to </w:t>
      </w:r>
      <w:r>
        <w:rPr>
          <w:b w:val="1"/>
          <w:bCs w:val="1"/>
        </w:rPr>
        <w:t xml:space="preserve">facilitate interoperability</w:t>
      </w:r>
      <w:r>
        <w:rPr/>
        <w:t xml:space="preserve">. It’s about a mindset, skills and transversal thinking that are essential for overcoming hurdles.</w:t>
      </w:r>
    </w:p>
    <w:p>
      <w:pPr>
        <w:numPr>
          <w:ilvl w:val="0"/>
          <w:numId w:val="2"/>
        </w:numPr>
      </w:pPr>
      <w:r>
        <w:rPr>
          <w:b w:val="1"/>
          <w:bCs w:val="1"/>
        </w:rPr>
        <w:t xml:space="preserve">Explore the available technologies</w:t>
      </w:r>
      <w:r>
        <w:rPr/>
        <w:t xml:space="preserve"> that can assist cities and local communities, regardless of their digital maturity, in advancing towards interoperability.</w:t>
      </w:r>
    </w:p>
    <w:p>
      <w:pPr>
        <w:numPr>
          <w:ilvl w:val="0"/>
          <w:numId w:val="2"/>
        </w:numPr>
      </w:pPr>
      <w:r>
        <w:rPr/>
        <w:t xml:space="preserve">Highlight our </w:t>
      </w:r>
      <w:r>
        <w:rPr>
          <w:b w:val="1"/>
          <w:bCs w:val="1"/>
        </w:rPr>
        <w:t xml:space="preserve">Minimal Interoperability Mechanisms (MIMs)</w:t>
      </w:r>
      <w:r>
        <w:rPr/>
        <w:t xml:space="preserve">, as the minimal but sufficient ground for interoperability that cities, companies, researchers and governments can use when procuring and using digital tools and systems</w:t>
      </w:r>
    </w:p>
    <w:p>
      <w:pPr>
        <w:spacing w:line="288" w:lineRule="auto"/>
      </w:pPr>
      <w:r>
        <w:rPr>
          <w:rFonts w:ascii="Arial" w:hAnsi="Arial" w:eastAsia="Arial" w:cs="Arial"/>
          <w:color w:val="000"/>
          <w:sz w:val="18"/>
          <w:szCs w:val="18"/>
          <w:b w:val="1"/>
          <w:bCs w:val="1"/>
        </w:rPr>
        <w:t xml:space="preserve">Summit Dinner on June 3</w:t>
      </w:r>
    </w:p>
    <w:p>
      <w:pPr>
        <w:spacing w:line="288" w:lineRule="auto"/>
      </w:pPr>
      <w:r>
        <w:rPr>
          <w:rFonts w:ascii="Arial" w:hAnsi="Arial" w:eastAsia="Arial" w:cs="Arial"/>
          <w:color w:val="000"/>
          <w:sz w:val="18"/>
          <w:szCs w:val="18"/>
        </w:rPr>
        <w:t xml:space="preserve">We are also hosting a dinner at Euromast, one of Rotterdam's most known attractions, on the evening of June 3. All Summit attendees are invited to the dinner free of charge. However, please be aware that seating is limited, and we can only accommodate up to 70 guests. To secure your seat at the dinner, we recommend registering early to guarantee your spot.</w:t>
      </w:r>
      <w:br/>
      <w:br/>
      <w:r>
        <w:rPr>
          <w:rFonts w:ascii="Arial" w:hAnsi="Arial" w:eastAsia="Arial" w:cs="Arial"/>
          <w:color w:val="000"/>
          <w:sz w:val="18"/>
          <w:szCs w:val="18"/>
          <w:b w:val="1"/>
          <w:bCs w:val="1"/>
        </w:rPr>
        <w:t xml:space="preserve">Join us in Rotterdam</w:t>
      </w:r>
    </w:p>
    <w:p>
      <w:pPr>
        <w:spacing w:line="288" w:lineRule="auto"/>
      </w:pPr>
      <w:r>
        <w:rPr>
          <w:rFonts w:ascii="Arial" w:hAnsi="Arial" w:eastAsia="Arial" w:cs="Arial"/>
          <w:color w:val="000"/>
          <w:sz w:val="18"/>
          <w:szCs w:val="18"/>
        </w:rPr>
        <w:t xml:space="preserve">The OASC Summit is an open invitation to all OASC members, partners, stakeholders from government, academia, business and civil society interested in digital transformation to participate with us in Rotterdam. </w:t>
      </w:r>
      <w:br/>
      <w:br/>
      <w:r>
        <w:rPr>
          <w:rFonts w:ascii="Arial" w:hAnsi="Arial" w:eastAsia="Arial" w:cs="Arial"/>
          <w:color w:val="000"/>
          <w:sz w:val="18"/>
          <w:szCs w:val="18"/>
          <w:b w:val="1"/>
          <w:bCs w:val="1"/>
        </w:rPr>
        <w:t xml:space="preserve">Become a sponsor</w:t>
      </w:r>
    </w:p>
    <w:p>
      <w:pPr>
        <w:spacing w:line="288" w:lineRule="auto"/>
      </w:pPr>
      <w:r>
        <w:rPr>
          <w:rFonts w:ascii="Arial" w:hAnsi="Arial" w:eastAsia="Arial" w:cs="Arial"/>
          <w:color w:val="000"/>
          <w:sz w:val="18"/>
          <w:szCs w:val="18"/>
        </w:rPr>
        <w:t xml:space="preserve">Interested in becoming an official sponsor for the OASC Summit? Email us at contact@oascities.org to learn more about the sponsorship package.</w:t>
      </w:r>
    </w:p>
    <w:p>
      <w:pPr>
        <w:pStyle w:val="Heading4"/>
      </w:pPr>
      <w:hyperlink r:id="rId7" w:history="1">
        <w:r>
          <w:rPr/>
          <w:t xml:space="preserve">Find the programme for the Summit here</w:t>
        </w:r>
      </w:hyperlink>
    </w:p>
    <w:p>
      <w:pPr>
        <w:spacing w:line="288" w:lineRule="auto"/>
      </w:pPr>
      <w:r>
        <w:rPr>
          <w:rFonts w:ascii="Arial" w:hAnsi="Arial" w:eastAsia="Arial" w:cs="Arial"/>
          <w:color w:val="000"/>
          <w:sz w:val="18"/>
          <w:szCs w:val="18"/>
        </w:rPr>
        <w:t xml:space="preserve">Should you have any questions, please don't hesitate to contact us at contact@oascities.org</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69ABCE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E7E8232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wp-content/uploads/2024/03/OASC-Summit-2024-agenda.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2026-05-29T23:50:59+02:00</dcterms:created>
  <dcterms:modified xsi:type="dcterms:W3CDTF">2026-05-29T23:50:59+02:00</dcterms:modified>
</cp:coreProperties>
</file>

<file path=docProps/custom.xml><?xml version="1.0" encoding="utf-8"?>
<Properties xmlns="http://schemas.openxmlformats.org/officeDocument/2006/custom-properties" xmlns:vt="http://schemas.openxmlformats.org/officeDocument/2006/docPropsVTypes"/>
</file>