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Bridging the Digital Divide by 2030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March 20th, Living-in.EU is proud to partner with Bordeaux Métropole for a special morning session at the Press Club, in Brussels: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“Bridging the Digital Divide by 2030”, an advocacy session to tackle this crucial issue at European level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Preliminary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8:30 Welcome coffee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9:00 Introduction "Strategic vision on the digital divide in light of the Digital Decade Policy Programme 2030"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9:30 How cities are already working together through organizations, with The Cities Coalition for Digital Rights, The Committee of the Regions, Eurocities network and the Living-in.EU movement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9:40 How could we expand these actions?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10:00 Panel discussion - Open dialogue with political representatives from cities and members of the European Parliament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 Formal signing of new members to the Living-in.EU movement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to discuss decisive digital issues and network with new members of our movement at the heart of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RSVP before March 1st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Sophie Woodville </w:t>
      </w:r>
      <w:hyperlink r:id="rId7" w:history="1">
        <w:r>
          <w:rPr/>
          <w:t xml:space="preserve">s.woodville@bordeaux-metropole.fr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Gabriela Ruseva </w:t>
      </w:r>
      <w:hyperlink r:id="rId8" w:history="1">
        <w:r>
          <w:rPr/>
          <w:t xml:space="preserve">gabriela.ruseva@eurocities.eu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s.woodville@bordeaux-metropole.fr" TargetMode="External"/><Relationship Id="rId8" Type="http://schemas.openxmlformats.org/officeDocument/2006/relationships/hyperlink" Target="mailto:gabriela.ruseva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2026-10-25T06:28:13+01:00</dcterms:created>
  <dcterms:modified xsi:type="dcterms:W3CDTF">2026-10-25T06:28:13+01:00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