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Bridging the Digital Divide by 2030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March 20th, Living-in.EU is proud to partner with Bordeaux Métropole for a special morning session at the Press Club, in Brussels: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“Bridging the Digital Divide by 2030”, an advocacy session to tackle this crucial issue at European level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Preliminary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8:30 Welcome coffee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9:00 Introduction "Strategic vision on the digital divide in light of the Digital Decade Policy Programme 2030"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9:30 How cities are already working together through organizations, with The Cities Coalition for Digital Rights, The Committee of the Regions, Eurocities network and the Living-in.EU movement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9:40 How could we expand these actions?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10:00 Panel discussion - Open dialogue with political representatives from cities and members of the European Parliament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 Formal signing of new members to the Living-in.EU movement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to discuss decisive digital issues and network with new members of our movement at the heart of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RSVP before March 1st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Sophie Woodville </w:t>
      </w:r>
      <w:hyperlink r:id="rId7" w:history="1">
        <w:r>
          <w:rPr/>
          <w:t xml:space="preserve">s.woodville@bordeaux-metropole.fr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Gabriela Ruseva </w:t>
      </w:r>
      <w:hyperlink r:id="rId8" w:history="1">
        <w:r>
          <w:rPr/>
          <w:t xml:space="preserve">gabriela.ruseva@eurocities.eu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s.woodville@bordeaux-metropole.fr" TargetMode="External"/><Relationship Id="rId8" Type="http://schemas.openxmlformats.org/officeDocument/2006/relationships/hyperlink" Target="mailto:gabriela.ruseva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2026-06-18T02:55:51+02:00</dcterms:created>
  <dcterms:modified xsi:type="dcterms:W3CDTF">2026-06-18T02:55:51+02:00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