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Bridging the Digital Divide by 2030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March 20th, Living-in.EU is proud to partner with Bordeaux Métropole for a special morning session at the Press Club, in Brussels: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“Bridging the Digital Divide by 2030”, an advocacy session to tackle this crucial issue at European level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Preliminary 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8:30 Welcome coffee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9:00 Introduction "Strategic vision on the digital divide in light of the Digital Decade Policy Programme 2030"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9:30 How cities are already working together through organizations, with The Cities Coalition for Digital Rights, The Committee of the Regions, Eurocities network and the Living-in.EU movement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9:40 How could we expand these actions?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10:00 Panel discussion - Open dialogue with political representatives from cities and members of the European Parliament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 Formal signing of new members to the Living-in.EU movement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welcoming you to discuss decisive digital issues and network with new members of our movement at the heart of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RSVP before March 1st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Sophie Woodville </w:t>
      </w:r>
      <w:hyperlink r:id="rId7" w:history="1">
        <w:r>
          <w:rPr/>
          <w:t xml:space="preserve">s.woodville@bordeaux-metropole.fr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Gabriela Ruseva </w:t>
      </w:r>
      <w:hyperlink r:id="rId8" w:history="1">
        <w:r>
          <w:rPr/>
          <w:t xml:space="preserve">gabriela.ruseva@eurocities.eu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mailto:s.woodville@bordeaux-metropole.fr" TargetMode="External"/><Relationship Id="rId8" Type="http://schemas.openxmlformats.org/officeDocument/2006/relationships/hyperlink" Target="mailto:gabriela.ruseva@eurocities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2026-08-22T19:22:41+02:00</dcterms:created>
  <dcterms:modified xsi:type="dcterms:W3CDTF">2026-08-22T19:22:41+02:00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