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Mission statement</w:t>
      </w:r>
    </w:p>
    <w:p>
      <w:pPr/>
    </w:p>
    <w:p>
      <w:pPr>
        <w:spacing w:line="288" w:lineRule="auto"/>
      </w:pPr>
      <w:r>
        <w:rPr>
          <w:rFonts w:ascii="Arial" w:hAnsi="Arial" w:eastAsia="Arial" w:cs="Arial"/>
          <w:color w:val="000"/>
          <w:sz w:val="18"/>
          <w:szCs w:val="18"/>
        </w:rPr>
        <w:t xml:space="preserve">Living-in.EU is a European initiative that brings together cities, regions, and member states to promote ‘European way of digital transformation’ that is inclusive, innovative, and sustainable, balancing technological progress with European values and diversity. </w:t>
      </w:r>
    </w:p>
    <w:p>
      <w:pPr>
        <w:spacing w:line="288" w:lineRule="auto"/>
      </w:pPr>
      <w:r>
        <w:rPr>
          <w:rFonts w:ascii="Arial" w:hAnsi="Arial" w:eastAsia="Arial" w:cs="Arial"/>
          <w:color w:val="000"/>
          <w:sz w:val="18"/>
          <w:szCs w:val="18"/>
        </w:rPr>
        <w:t xml:space="preserve">Over 160 cities, regions, and Member States have committed to the initiative’s Join, Boost, Sustain Declaration. The political advisory body, the Mayors Digital Assembly has set the initiative’s priorities for the next two years. </w:t>
      </w:r>
    </w:p>
    <w:p>
      <w:pPr>
        <w:pStyle w:val="Heading1"/>
      </w:pPr>
      <w:r>
        <w:rPr/>
        <w:t xml:space="preserve">Living-in.EU priorities </w:t>
      </w:r>
    </w:p>
    <w:p>
      <w:pPr>
        <w:spacing w:line="288" w:lineRule="auto"/>
      </w:pPr>
      <w:r>
        <w:rPr>
          <w:rFonts w:ascii="Arial" w:hAnsi="Arial" w:eastAsia="Arial" w:cs="Arial"/>
          <w:color w:val="000"/>
          <w:sz w:val="18"/>
          <w:szCs w:val="18"/>
          <w:b w:val="1"/>
          <w:bCs w:val="1"/>
        </w:rPr>
        <w:t xml:space="preserve">1. Advancing the twin green and digital transformation at local level </w:t>
      </w:r>
    </w:p>
    <w:p>
      <w:pPr>
        <w:numPr>
          <w:ilvl w:val="0"/>
          <w:numId w:val="1"/>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Promoting and fostering a more innovative use of technologies for addressing environmental sustainability challenges at local level. </w:t>
      </w:r>
    </w:p>
    <w:p>
      <w:pPr>
        <w:numPr>
          <w:ilvl w:val="0"/>
          <w:numId w:val="1"/>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Local digital twins and Citiverse: virtual representations of city assets, using data analytics and machine learning to simulate scenarios, test measures and involve citizens.  </w:t>
      </w:r>
    </w:p>
    <w:p>
      <w:pPr>
        <w:numPr>
          <w:ilvl w:val="0"/>
          <w:numId w:val="1"/>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Making available and promoting a Local Digital Twins toolbox including assessment instruments, procurement guidelines and a helpdesk to support cities and regions in developing and using local digital twins. Strategically positioning the Steering Board and the Mayors Digital Assembly to provide advice to the European Digital Infrastructure Consortium (EDIC) on LDT towards Citiverse.  </w:t>
      </w:r>
    </w:p>
    <w:p>
      <w:pPr>
        <w:spacing w:line="288" w:lineRule="auto"/>
      </w:pPr>
      <w:r>
        <w:rPr>
          <w:rFonts w:ascii="Arial" w:hAnsi="Arial" w:eastAsia="Arial" w:cs="Arial"/>
          <w:color w:val="000"/>
          <w:sz w:val="18"/>
          <w:szCs w:val="18"/>
          <w:b w:val="1"/>
          <w:bCs w:val="1"/>
        </w:rPr>
        <w:t xml:space="preserve">2. Fostering technological innovation (city as a platform) </w:t>
      </w:r>
    </w:p>
    <w:p>
      <w:pPr>
        <w:numPr>
          <w:ilvl w:val="0"/>
          <w:numId w:val="2"/>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Facilitating technological innovation development to boost local economies by putting public authorities in a more active role in the technological innovation ecosystem. </w:t>
      </w:r>
    </w:p>
    <w:p>
      <w:pPr>
        <w:numPr>
          <w:ilvl w:val="0"/>
          <w:numId w:val="2"/>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Open and interoperable standards, such as the Minimal Interoperability Mechanisms (MIMs) to build an independent European market for interoperable solutions, services, and data.  </w:t>
      </w:r>
    </w:p>
    <w:p>
      <w:pPr>
        <w:numPr>
          <w:ilvl w:val="0"/>
          <w:numId w:val="2"/>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Further developing open standards and technical specifications for interoperability (MIMs Plus), to foster knowledge sharing, scalability, and cost reduction, and avoid vendor lock-in. Promoting compliance with those standards of upcoming digital infrastructure and projects supported by the LDT EDIC, though the Living-in.EU technical working group. Providing public authorities with a curated catalogue of digital transformation tools and instruments to increase their technological innovation capacities.  </w:t>
      </w:r>
    </w:p>
    <w:p>
      <w:pPr>
        <w:spacing w:line="288" w:lineRule="auto"/>
      </w:pPr>
      <w:r>
        <w:rPr>
          <w:rFonts w:ascii="Arial" w:hAnsi="Arial" w:eastAsia="Arial" w:cs="Arial"/>
          <w:color w:val="000"/>
          <w:sz w:val="18"/>
          <w:szCs w:val="18"/>
          <w:b w:val="1"/>
          <w:bCs w:val="1"/>
        </w:rPr>
        <w:t xml:space="preserve">3. Better-informed policies through data </w:t>
      </w:r>
    </w:p>
    <w:p>
      <w:pPr>
        <w:numPr>
          <w:ilvl w:val="0"/>
          <w:numId w:val="3"/>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Fostering a more transparent and systematic management and use of quality data for better-informed policy making and improved service provision.  </w:t>
      </w:r>
    </w:p>
    <w:p>
      <w:pPr>
        <w:numPr>
          <w:ilvl w:val="0"/>
          <w:numId w:val="3"/>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Data spaces to facilitate secure and efficient data sharing and management. Data Spaces for Smart and Sustainable Communities (DS4SSCC) Blueprint and DS4SSCC implementation action, to stimulate data interoperability and standardisation.  </w:t>
      </w:r>
    </w:p>
    <w:p>
      <w:pPr>
        <w:numPr>
          <w:ilvl w:val="0"/>
          <w:numId w:val="3"/>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Supporting the creation and deployment of data spaces, supporting cities and regions in navigating and implementing EU legislation on data. The data spaces implementation action will support local and regional authorities in setting up and testing a multistakeholder data governance model to make data more accessible in compliance with the highest standards. </w:t>
      </w:r>
    </w:p>
    <w:p>
      <w:pPr>
        <w:spacing w:line="288" w:lineRule="auto"/>
      </w:pPr>
      <w:r>
        <w:rPr>
          <w:rFonts w:ascii="Arial" w:hAnsi="Arial" w:eastAsia="Arial" w:cs="Arial"/>
          <w:color w:val="000"/>
          <w:sz w:val="18"/>
          <w:szCs w:val="18"/>
          <w:b w:val="1"/>
          <w:bCs w:val="1"/>
        </w:rPr>
        <w:t xml:space="preserve">4. People-centred digital transformation  </w:t>
      </w:r>
    </w:p>
    <w:p>
      <w:pPr>
        <w:numPr>
          <w:ilvl w:val="0"/>
          <w:numId w:val="4"/>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Ensuring secure, inclusive, and democratic digital transformation, protecting digital rights, providing digital skills and bridging the digital divide.  </w:t>
      </w:r>
    </w:p>
    <w:p>
      <w:pPr>
        <w:numPr>
          <w:ilvl w:val="0"/>
          <w:numId w:val="5"/>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Standards for transparent use of AI and data schema algorithm registers to set common guidelines on the information collected by AI systems and their use by public authorities. Standard contractual clauses for the procurement of AI by public organisations, to ensure a transparent, accountable, and secure implementation of AI systems. Digital rights governance framework to safeguard human rights in the digital context.  </w:t>
      </w:r>
    </w:p>
    <w:p>
      <w:pPr>
        <w:numPr>
          <w:ilvl w:val="0"/>
          <w:numId w:val="5"/>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Promoting a more responsible use of AI compliant with EU legislation (e.g. procurement clauses on AI aligned with the AI act). Providing tools to measure and progressively assess public authorities' digital maturity (e.g. LORDIMAS assessment tool and interactive dashboard, testing and further development). CommuniCity Open Calls will provide grants for 100 innovative pilots leveraging AI and other emerging technologies for social inclusion in line with the needs of vulnerable communities. A Living Labs approach, to develop local/region ecosystem where citizens and stakeholders are at centre of technological evolution. Promoting digital skills development programmes as a priority in the Digital Europe programme.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Download the mission statement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76A84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55E6D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B8993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A8D5C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67099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hort-mission-statement-li.eu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2026-09-03T18:20:13+02:00</dcterms:created>
  <dcterms:modified xsi:type="dcterms:W3CDTF">2026-09-03T18:20:13+02:00</dcterms:modified>
</cp:coreProperties>
</file>

<file path=docProps/custom.xml><?xml version="1.0" encoding="utf-8"?>
<Properties xmlns="http://schemas.openxmlformats.org/officeDocument/2006/custom-properties" xmlns:vt="http://schemas.openxmlformats.org/officeDocument/2006/docPropsVTypes"/>
</file>