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Themes</w:t>
      </w:r>
    </w:p>
    <w:p>
      <w:pPr/>
    </w:p>
    <w:p>
      <w:pPr>
        <w:spacing w:line="288" w:lineRule="auto"/>
      </w:pPr>
      <w:r>
        <w:rPr>
          <w:rFonts w:ascii="Arial" w:hAnsi="Arial" w:eastAsia="Arial" w:cs="Arial"/>
          <w:color w:val="000"/>
          <w:sz w:val="18"/>
          <w:szCs w:val="18"/>
        </w:rPr>
        <w:t xml:space="preserve">The digital transformation and smart city sector is large. At Living-in.EU, we focus on three key technologies – Local Digital Twins, Data Spaces and Local Data platforms. Consequently, the movement is also strategically and systematically reaching out to EU projects working on the following themes:</w:t>
      </w:r>
    </w:p>
    <w:p>
      <w:pPr>
        <w:spacing w:line="288" w:lineRule="auto"/>
      </w:pPr>
      <w:r>
        <w:rPr>
          <w:rFonts w:ascii="Arial" w:hAnsi="Arial" w:eastAsia="Arial" w:cs="Arial"/>
          <w:color w:val="000"/>
          <w:sz w:val="18"/>
          <w:szCs w:val="18"/>
          <w:b w:val="1"/>
          <w:bCs w:val="1"/>
        </w:rPr>
        <w:t xml:space="preserve">1. Local Digital Twin</w:t>
      </w:r>
    </w:p>
    <w:p>
      <w:pPr>
        <w:spacing w:line="288" w:lineRule="auto"/>
      </w:pPr>
      <w:r>
        <w:rPr>
          <w:rFonts w:ascii="Arial" w:hAnsi="Arial" w:eastAsia="Arial" w:cs="Arial"/>
          <w:color w:val="000"/>
          <w:sz w:val="18"/>
          <w:szCs w:val="18"/>
        </w:rPr>
        <w:t xml:space="preserve">Local digital twins are digital replicas of a city's physical assets that use data and smart technology to simulate real-life situations. These twins continuously update themselves to reflect changes in the real world. Using AI, they analyse data, predict outcomes, and help manage resources more effectively. They are highly useful for urban planning, making operations more efficient, handling crises, involving citizens in decision-making, and improving governance. By using these digital twins, cities can save money, provide better services, and work towards sustainable development. </w:t>
      </w:r>
    </w:p>
    <w:p>
      <w:pPr>
        <w:spacing w:line="288" w:lineRule="auto"/>
      </w:pPr>
      <w:r>
        <w:rPr>
          <w:rFonts w:ascii="Arial" w:hAnsi="Arial" w:eastAsia="Arial" w:cs="Arial"/>
          <w:color w:val="000"/>
          <w:sz w:val="18"/>
          <w:szCs w:val="18"/>
          <w:b w:val="1"/>
          <w:bCs w:val="1"/>
        </w:rPr>
        <w:t xml:space="preserve">2. Data Spaces</w:t>
      </w:r>
    </w:p>
    <w:p>
      <w:pPr>
        <w:spacing w:line="288" w:lineRule="auto"/>
      </w:pPr>
      <w:r>
        <w:rPr>
          <w:rFonts w:ascii="Arial" w:hAnsi="Arial" w:eastAsia="Arial" w:cs="Arial"/>
          <w:color w:val="000"/>
          <w:sz w:val="18"/>
          <w:szCs w:val="18"/>
        </w:rPr>
        <w:t xml:space="preserve">Data spaces provide a standardized framework for data governance, ensuring compliance with privacy regulations and enabling data sovereignty. Data spaces support cross-domain interoperability by allowing data providers to define access policies, sharing mechanisms, and data usage agreements. By fostering trusted data exchange, data spaces contribute to the development of innovative solutions and services across multiple domains. </w:t>
      </w:r>
    </w:p>
    <w:p>
      <w:pPr>
        <w:spacing w:line="288" w:lineRule="auto"/>
      </w:pPr>
      <w:r>
        <w:rPr>
          <w:rFonts w:ascii="Arial" w:hAnsi="Arial" w:eastAsia="Arial" w:cs="Arial"/>
          <w:color w:val="000"/>
          <w:sz w:val="18"/>
          <w:szCs w:val="18"/>
          <w:b w:val="1"/>
          <w:bCs w:val="1"/>
        </w:rPr>
        <w:t xml:space="preserve">3. Local Data Platform</w:t>
      </w:r>
    </w:p>
    <w:p>
      <w:pPr>
        <w:spacing w:line="288" w:lineRule="auto"/>
      </w:pPr>
      <w:r>
        <w:rPr>
          <w:rFonts w:ascii="Arial" w:hAnsi="Arial" w:eastAsia="Arial" w:cs="Arial"/>
          <w:color w:val="000"/>
          <w:sz w:val="18"/>
          <w:szCs w:val="18"/>
        </w:rPr>
        <w:t xml:space="preserve">Local data platforms serve as central repositories for collecting, storing, and managing diverse data sets from multiple sources within a city or community. These platforms enable data integration and provide a unified view of information from various domains, such as transportation, energy, environment, and public services. These platforms use data analytics and visualization techniques to derive valuable insights and support leaders in their decision-making based on evidence. They play a crucial role in facilitating cross-domain data sharing and collaboration among different stakeholders.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2026-09-17T11:20:06+02:00</dcterms:created>
  <dcterms:modified xsi:type="dcterms:W3CDTF">2026-09-17T11:20:06+02:00</dcterms:modified>
</cp:coreProperties>
</file>

<file path=docProps/custom.xml><?xml version="1.0" encoding="utf-8"?>
<Properties xmlns="http://schemas.openxmlformats.org/officeDocument/2006/custom-properties" xmlns:vt="http://schemas.openxmlformats.org/officeDocument/2006/docPropsVTypes"/>
</file>