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Data Spaces for Smart and Sustainable Cities and Communities</w:t>
      </w:r>
    </w:p>
    <w:p>
      <w:pPr/>
    </w:p>
    <w:p>
      <w:pPr>
        <w:spacing w:line="288" w:lineRule="auto"/>
      </w:pPr>
      <w:r>
        <w:rPr>
          <w:rFonts w:ascii="Arial" w:hAnsi="Arial" w:eastAsia="Arial" w:cs="Arial"/>
          <w:color w:val="000"/>
          <w:sz w:val="18"/>
          <w:szCs w:val="18"/>
        </w:rPr>
        <w:t xml:space="preserve">The </w:t>
      </w:r>
      <w:hyperlink r:id="rId7" w:history="1">
        <w:r>
          <w:rPr/>
          <w:t xml:space="preserve">European Data Space for Smart Communities (DS4SSCC-DEP)</w:t>
        </w:r>
      </w:hyperlink>
      <w:r>
        <w:rPr>
          <w:rFonts w:ascii="Arial" w:hAnsi="Arial" w:eastAsia="Arial" w:cs="Arial"/>
          <w:color w:val="000"/>
          <w:sz w:val="18"/>
          <w:szCs w:val="18"/>
        </w:rPr>
        <w:t xml:space="preserve"> initiative is currently undergoing its pivotal deployment phase, building upon the preparatory work of the Data Space for Sustainable and Smart Cities and Communities (DS4SSCC). The groundwork laid by DS4SSCC focused on sustainability, diversity, and the development of a multi-stakeholder data governance scheme, alongside providing priority datasets and creating a roadmap for its evolution. </w:t>
      </w:r>
    </w:p>
    <w:p>
      <w:pPr>
        <w:spacing w:line="288" w:lineRule="auto"/>
      </w:pPr>
      <w:r>
        <w:rPr>
          <w:rFonts w:ascii="Arial" w:hAnsi="Arial" w:eastAsia="Arial" w:cs="Arial"/>
          <w:color w:val="000"/>
          <w:sz w:val="18"/>
          <w:szCs w:val="18"/>
        </w:rPr>
        <w:t xml:space="preserve">In its deployment phase, the initiative aims to establish a well-governed data space accessible to developers and infrastructure providers, aligning with the Digital Decade objectives of Europe. Recognizing data as a crucial societal asset, akin to water or food supplies, it seeks to create a territorial data space for smart communities, covering various domains and governance levels. </w:t>
      </w:r>
    </w:p>
    <w:p>
      <w:pPr>
        <w:spacing w:line="288" w:lineRule="auto"/>
      </w:pPr>
      <w:r>
        <w:rPr>
          <w:rFonts w:ascii="Arial" w:hAnsi="Arial" w:eastAsia="Arial" w:cs="Arial"/>
          <w:color w:val="000"/>
          <w:sz w:val="18"/>
          <w:szCs w:val="18"/>
        </w:rPr>
        <w:t xml:space="preserve">With €15 million allocated for 10-12 selected proposals, the initiative will provide comprehensive support, including expert-driven mentoring and training programs, to ensure the success of pilot projects. This deployment promises to lay a technical foundation for robust, value-based governance of data access, sharing, and utilization, in line with EU Digital Decade goals. </w:t>
      </w:r>
    </w:p>
    <w:p>
      <w:pPr>
        <w:spacing w:line="288" w:lineRule="auto"/>
      </w:pPr>
      <w:r>
        <w:rPr>
          <w:rFonts w:ascii="Arial" w:hAnsi="Arial" w:eastAsia="Arial" w:cs="Arial"/>
          <w:color w:val="000"/>
          <w:sz w:val="18"/>
          <w:szCs w:val="18"/>
        </w:rPr>
        <w:t xml:space="preserve">The establishment of interoperable data spaces is a vital aspect of successfully digitizing cities and communities across Europe. These spaces offer a standardized framework for data governance, ensuring compliance with privacy regulations and enabling data sovereignty. By facilitating cross-domain interoperability, data spaces allow data providers to define access policies, sharing mechanisms, and data usage agreements, fostering trusted data exchange and driving innovation across multiple domains. </w:t>
      </w:r>
    </w:p>
    <w:p>
      <w:pPr>
        <w:spacing w:line="288" w:lineRule="auto"/>
      </w:pPr>
      <w:r>
        <w:rPr>
          <w:rFonts w:ascii="Arial" w:hAnsi="Arial" w:eastAsia="Arial" w:cs="Arial"/>
          <w:color w:val="000"/>
          <w:sz w:val="18"/>
          <w:szCs w:val="18"/>
        </w:rPr>
        <w:t xml:space="preserve">Local data spaces are among the key cross-domain interoperable digital solutions selected within the Go-Li.EU project, which oversees the governance of the Living-in.EU Movement. </w:t>
      </w:r>
    </w:p>
    <w:p>
      <w:pPr>
        <w:spacing w:line="288" w:lineRule="auto"/>
      </w:pPr>
      <w:r>
        <w:rPr>
          <w:rFonts w:ascii="Arial" w:hAnsi="Arial" w:eastAsia="Arial" w:cs="Arial"/>
          <w:color w:val="000"/>
          <w:sz w:val="18"/>
          <w:szCs w:val="18"/>
        </w:rPr>
        <w:t xml:space="preserve">Stay connected for the latest updates and developments at their website </w:t>
      </w:r>
      <w:hyperlink r:id="rId8" w:history="1">
        <w:r>
          <w:rPr/>
          <w:t xml:space="preserve">www.ds4sscc.eu</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Project partners:</w:t>
      </w:r>
      <w:r>
        <w:rPr>
          <w:rFonts w:ascii="Arial" w:hAnsi="Arial" w:eastAsia="Arial" w:cs="Arial"/>
          <w:color w:val="000"/>
          <w:sz w:val="18"/>
          <w:szCs w:val="18"/>
        </w:rPr>
        <w:t xml:space="preserve"> Open &amp; Agile Smart Cities (OASC), imec, FIWARE, IDC, Gospodarska zbornica Slovenije, Serendipity, FinEst Centre for Smart Cities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ds4sscc.eu/" TargetMode="External"/><Relationship Id="rId8" Type="http://schemas.openxmlformats.org/officeDocument/2006/relationships/hyperlink" Target="http://www.ds4sscc.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2026-06-04T15:02:54+02:00</dcterms:created>
  <dcterms:modified xsi:type="dcterms:W3CDTF">2026-06-04T15:02:54+02:00</dcterms:modified>
</cp:coreProperties>
</file>

<file path=docProps/custom.xml><?xml version="1.0" encoding="utf-8"?>
<Properties xmlns="http://schemas.openxmlformats.org/officeDocument/2006/custom-properties" xmlns:vt="http://schemas.openxmlformats.org/officeDocument/2006/docPropsVTypes"/>
</file>