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Small and medium-sized cities: drivers of sustainable development and urban-rural cooperation</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ESPON Seminar in Cuenca is organized in cooperation with the Spanish Presidency of the EU Council in the framework of the ESPON 2030 Cooperation Programme, which aims to support policy development for promoting territorial cohesion and harmonious development of the European territory.</w:t>
      </w:r>
    </w:p>
    <w:p>
      <w:pPr>
        <w:spacing w:line="288" w:lineRule="auto"/>
      </w:pPr>
      <w:r>
        <w:rPr>
          <w:rFonts w:ascii="Arial" w:hAnsi="Arial" w:eastAsia="Arial" w:cs="Arial"/>
          <w:color w:val="000"/>
          <w:sz w:val="18"/>
          <w:szCs w:val="18"/>
        </w:rPr>
        <w:t xml:space="preserve">Living-in.EU and LORDIMAS will  be presented in the session "Tools for SMS Towns and Cities" on 16 November 2023 at 11:15-12:00</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2026-06-18T13:25:48+02:00</dcterms:created>
  <dcterms:modified xsi:type="dcterms:W3CDTF">2026-06-18T13:25:48+02:00</dcterms:modified>
</cp:coreProperties>
</file>

<file path=docProps/custom.xml><?xml version="1.0" encoding="utf-8"?>
<Properties xmlns="http://schemas.openxmlformats.org/officeDocument/2006/custom-properties" xmlns:vt="http://schemas.openxmlformats.org/officeDocument/2006/docPropsVTypes"/>
</file>