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Take part in the Living-in.EU Technical Standardisation Stakeholder Mapping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Take part in the Living-in.EU Technical Standardisation Stakeholder Mapping Survey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About the survey: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was developed in the context of the Living-in.EU Movement by OASC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analyse the key players in the landscape and their role in the standardisation of technical specifications across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already involved in standardisation work, the survey should take you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 minutes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not yet involved in this field it may take a little longer but we would really appreciate your input. Please provide your input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Should you have any questions about the survey, please contact Sophie Meszaros at </w:t>
      </w:r>
      <w:hyperlink r:id="rId7" w:history="1">
        <w:r>
          <w:rPr/>
          <w:t xml:space="preserve">sophie(at)oascities.org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the survey: </w:t>
      </w:r>
      <w:hyperlink r:id="rId8" w:history="1">
        <w:r>
          <w:rPr/>
          <w:t xml:space="preserve">Living-in.EU Technical Standardisation Stakeholder Mapping Survey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ascities.org/take-part-in-the-living-in-eu-technical-standardisation-stakeholder-mapping-survey/sophie@oascities.org" TargetMode="External"/><Relationship Id="rId8" Type="http://schemas.openxmlformats.org/officeDocument/2006/relationships/hyperlink" Target="https://docs.google.com/forms/d/e/1FAIpQLSfq1W_0pvEec2lMyr7HtNeGfNAsna1v_E9gbPgbTL5rjD_Zh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2026-09-13T04:40:44+02:00</dcterms:created>
  <dcterms:modified xsi:type="dcterms:W3CDTF">2026-09-13T04:40:44+02:00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