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From interoperable urban platforms to local digital twins: inclusive tools for resilient cities</w:t>
      </w:r>
    </w:p>
    <w:p>
      <w:pPr/>
    </w:p>
    <w:p>
      <w:pPr>
        <w:spacing w:line="288" w:lineRule="auto"/>
      </w:pPr>
      <w:r>
        <w:rPr>
          <w:rFonts w:ascii="Arial" w:hAnsi="Arial" w:eastAsia="Arial" w:cs="Arial"/>
          <w:color w:val="000"/>
          <w:sz w:val="18"/>
          <w:szCs w:val="18"/>
        </w:rPr>
        <w:t xml:space="preserve">European societies are changing, impacting all aspects of urban planning and governance. OASC and URBANAGE will present examples (e.g. Minimal Interoperable Mechanisms, digital twins, data spaces and AI) of how data governance and technology can accelerate collaboration and digital transformation and help create digital urban ecosystems, having a sustainable impact on cities. This workshop aims to foster data sharing, scaling of solutions, interoperability and collaboration.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2026-10-26T12:59:46+01:00</dcterms:created>
  <dcterms:modified xsi:type="dcterms:W3CDTF">2026-10-26T12:59:46+01:00</dcterms:modified>
</cp:coreProperties>
</file>

<file path=docProps/custom.xml><?xml version="1.0" encoding="utf-8"?>
<Properties xmlns="http://schemas.openxmlformats.org/officeDocument/2006/custom-properties" xmlns:vt="http://schemas.openxmlformats.org/officeDocument/2006/docPropsVTypes"/>
</file>