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Exhibition Stand at the EU Regions Week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is the digital transformation movement of EU cities, regions and Member States. If you are a decision-maker at local, regional or national level tasked with turning cities and communities into smart and sustainable places where people enjoy living and working, then you should join Living-in.EU now! Living-in.EU is gaining momentum as an increasing number of cities turn to technology to solve the growing range of interconnected challenges: mobility, energy, the economy.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to see us between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10th and 12th of October </w:t>
      </w:r>
      <w:r>
        <w:rPr>
          <w:rFonts w:ascii="Arial" w:hAnsi="Arial" w:eastAsia="Arial" w:cs="Arial"/>
          <w:color w:val="000"/>
          <w:sz w:val="18"/>
          <w:szCs w:val="18"/>
        </w:rPr>
        <w:t xml:space="preserve">from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9:00 until 18:00 </w:t>
      </w:r>
      <w:r>
        <w:rPr>
          <w:rFonts w:ascii="Arial" w:hAnsi="Arial" w:eastAsia="Arial" w:cs="Arial"/>
          <w:color w:val="000"/>
          <w:sz w:val="18"/>
          <w:szCs w:val="18"/>
        </w:rPr>
        <w:t xml:space="preserve">during the EU Regions Week!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2026-10-26T13:03:37+01:00</dcterms:created>
  <dcterms:modified xsi:type="dcterms:W3CDTF">2026-10-26T13:03:37+01:00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