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Promote the movement</w:t>
      </w:r>
    </w:p>
    <w:p>
      <w:pPr/>
    </w:p>
    <w:p>
      <w:pPr>
        <w:spacing w:line="288" w:lineRule="auto"/>
      </w:pPr>
      <w:r>
        <w:rPr>
          <w:rFonts w:ascii="Arial" w:hAnsi="Arial" w:eastAsia="Arial" w:cs="Arial"/>
          <w:color w:val="000"/>
          <w:sz w:val="18"/>
          <w:szCs w:val="18"/>
        </w:rPr>
        <w:t xml:space="preserve">As policymakers at all levels of government and organizations, we believe, along with networks of cities and communities both large and small, that close cooperation through multi-level governance in the EU and co-creation with citizens are essential to our mission to transform our cities and communities. into smart and sustainable places where people like to live and work. We strive for a cohesive and digital Europe, in which every community can enjoy the economic and social benefits of this transformation and where no one is left behind. That is why we emphasize that in order to achieve this goal, there must be adequate investment in both public and private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2026-06-12T05:23:37+02:00</dcterms:created>
  <dcterms:modified xsi:type="dcterms:W3CDTF">2026-06-12T05:23:37+02:00</dcterms:modified>
</cp:coreProperties>
</file>

<file path=docProps/custom.xml><?xml version="1.0" encoding="utf-8"?>
<Properties xmlns="http://schemas.openxmlformats.org/officeDocument/2006/custom-properties" xmlns:vt="http://schemas.openxmlformats.org/officeDocument/2006/docPropsVTypes"/>
</file>