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Living-in.EU Supporters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next online meeting with the </w:t>
      </w:r>
      <w:hyperlink r:id="rId7" w:history="1">
        <w:r>
          <w:rPr/>
          <w:t xml:space="preserve">supporters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of the </w:t>
      </w:r>
      <w:hyperlink r:id="rId8" w:history="1">
        <w:r>
          <w:rPr/>
          <w:t xml:space="preserve">Living-in.EU movement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will take place on 20th of December from 13:30 to 14:30 CET.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will aim to engage you into the work the Living-in.EU movement is conducting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 platforms, data spaces and Digital Twins for smart and sustainable cities and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as well as to inform you about ongoing and upcoming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funding opportunities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interested in attending, please</w:t>
      </w:r>
      <w:hyperlink r:id="rId9" w:history="1">
        <w:r>
          <w:rPr/>
          <w:t xml:space="preserve"> 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will be a fully interactive and participatory event! Therefore, we would like to invite you to check on the Living-in.eu website for any background information you may need to prepare for this event. The meeting this time will be also open to potential signatories and newcomers who have not yet </w:t>
      </w:r>
      <w:hyperlink r:id="rId10" w:history="1">
        <w:r>
          <w:rPr/>
          <w:t xml:space="preserve">signed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or </w:t>
      </w:r>
      <w:hyperlink r:id="rId7" w:history="1">
        <w:r>
          <w:rPr/>
          <w:t xml:space="preserve">supported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the Living-in.EU </w:t>
      </w:r>
      <w:hyperlink r:id="rId10" w:history="1">
        <w:r>
          <w:rPr/>
          <w:t xml:space="preserve">Declaration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Feel free to share this event with your stakeholders!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also recorded a few video messages to get you up to speed with latest developments in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movement,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and information 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calls for proposals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and existing initiatives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standardisation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 efforts pursued by the various stakeholders of the Smart and Sustainable Cities and communities.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Please watch them in advance - videos at the bottom of this page!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numPr>
          <w:ilvl w:val="0"/>
          <w:numId w:val="1"/>
        </w:numPr>
      </w:pPr>
      <w:r>
        <w:rPr/>
        <w:t xml:space="preserve">Welcome (by the Commission)	</w:t>
      </w:r>
      <w:r>
        <w:rPr/>
        <w:t xml:space="preserve">	</w:t>
      </w:r>
    </w:p>
    <w:p>
      <w:pPr>
        <w:numPr>
          <w:ilvl w:val="1"/>
          <w:numId w:val="1"/>
        </w:numPr>
      </w:pPr>
      <w:r>
        <w:rPr/>
        <w:t xml:space="preserve">Introductory words</w:t>
      </w:r>
    </w:p>
    <w:p>
      <w:pPr>
        <w:numPr>
          <w:ilvl w:val="1"/>
          <w:numId w:val="1"/>
        </w:numPr>
      </w:pPr>
      <w:r>
        <w:rPr/>
        <w:t xml:space="preserve">Meeting purpose</w:t>
      </w:r>
    </w:p>
    <w:p>
      <w:pPr>
        <w:numPr>
          <w:ilvl w:val="1"/>
          <w:numId w:val="1"/>
        </w:numPr>
      </w:pPr>
      <w:r>
        <w:rPr/>
        <w:t xml:space="preserve">Onboarding of newcomers</w:t>
      </w:r>
    </w:p>
    <w:p>
      <w:pPr>
        <w:numPr>
          <w:ilvl w:val="0"/>
          <w:numId w:val="1"/>
        </w:numPr>
      </w:pPr>
      <w:r>
        <w:rPr/>
        <w:t xml:space="preserve">Engaging Living-in.eu ‘supporters’ (moderated by the Technical sub-group chair)	</w:t>
      </w:r>
      <w:r>
        <w:rPr/>
        <w:t xml:space="preserve">	</w:t>
      </w:r>
    </w:p>
    <w:p>
      <w:pPr>
        <w:numPr>
          <w:ilvl w:val="1"/>
          <w:numId w:val="1"/>
        </w:numPr>
      </w:pPr>
      <w:r>
        <w:rPr/>
        <w:t xml:space="preserve">Overview of different MIM technical working groups</w:t>
      </w:r>
    </w:p>
    <w:p>
      <w:pPr>
        <w:numPr>
          <w:ilvl w:val="1"/>
          <w:numId w:val="1"/>
        </w:numPr>
      </w:pPr>
      <w:r>
        <w:rPr/>
        <w:t xml:space="preserve">Expression of interest to contribute on the various MIMs</w:t>
      </w:r>
    </w:p>
    <w:p>
      <w:pPr>
        <w:numPr>
          <w:ilvl w:val="1"/>
          <w:numId w:val="1"/>
        </w:numPr>
      </w:pPr>
      <w:r>
        <w:rPr/>
        <w:t xml:space="preserve">Synergies among different workstreams (new proposals?)</w:t>
      </w:r>
    </w:p>
    <w:p>
      <w:pPr>
        <w:numPr>
          <w:ilvl w:val="1"/>
          <w:numId w:val="1"/>
        </w:numPr>
      </w:pPr>
      <w:r>
        <w:rPr/>
        <w:t xml:space="preserve">Identification of future webinars on MIM-related topics</w:t>
      </w:r>
    </w:p>
    <w:p>
      <w:pPr>
        <w:numPr>
          <w:ilvl w:val="0"/>
          <w:numId w:val="1"/>
        </w:numPr>
      </w:pPr>
      <w:r>
        <w:rPr/>
        <w:t xml:space="preserve">Open forum discussion</w:t>
      </w:r>
    </w:p>
    <w:p>
      <w:pPr>
        <w:numPr>
          <w:ilvl w:val="0"/>
          <w:numId w:val="1"/>
        </w:numPr>
      </w:pPr>
      <w:r>
        <w:rPr/>
        <w:t xml:space="preserve">AOB</w:t>
      </w:r>
    </w:p>
    <w:p>
      <w:pPr>
        <w:numPr>
          <w:ilvl w:val="0"/>
          <w:numId w:val="1"/>
        </w:numPr>
      </w:pPr>
      <w:r>
        <w:rPr/>
        <w:t xml:space="preserve">Conclusion and move to the </w:t>
      </w:r>
      <w:r>
        <w:rPr>
          <w:i w:val="1"/>
          <w:iCs w:val="1"/>
        </w:rPr>
        <w:t xml:space="preserve">Technical sub-group </w:t>
      </w:r>
      <w:r>
        <w:rPr/>
        <w:t xml:space="preserve">meeting of the Living-in.eu (invitation only)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Video Messages to watch in preparation of the meeting:</w:t>
      </w:r>
    </w:p>
    <w:p>
      <w:pPr>
        <w:numPr>
          <w:ilvl w:val="0"/>
          <w:numId w:val="2"/>
        </w:numPr>
      </w:pPr>
      <w:r>
        <w:rPr/>
        <w:t xml:space="preserve">Updates on the Living-in.eu:	</w:t>
      </w:r>
      <w:r>
        <w:rPr/>
        <w:t xml:space="preserve">	</w:t>
      </w:r>
    </w:p>
    <w:p>
      <w:pPr>
        <w:numPr>
          <w:ilvl w:val="1"/>
          <w:numId w:val="2"/>
        </w:numPr>
      </w:pPr>
      <w:hyperlink r:id="rId11" w:history="1">
        <w:r>
          <w:rPr/>
          <w:t xml:space="preserve">Living-in.eu and GO LIEU developments</w:t>
        </w:r>
      </w:hyperlink>
    </w:p>
    <w:p>
      <w:pPr>
        <w:numPr>
          <w:ilvl w:val="1"/>
          <w:numId w:val="2"/>
        </w:numPr>
      </w:pPr>
      <w:r>
        <w:rPr/>
        <w:t xml:space="preserve">Digital Programme coordination and support actions:</w:t>
      </w:r>
      <w:hyperlink r:id="rId12" w:history="1">
        <w:r>
          <w:rPr/>
          <w:t xml:space="preserve"> DigiNEB</w:t>
        </w:r>
      </w:hyperlink>
      <w:r>
        <w:rPr/>
        <w:t xml:space="preserve"> and </w:t>
      </w:r>
      <w:hyperlink r:id="rId13" w:history="1">
        <w:r>
          <w:rPr/>
          <w:t xml:space="preserve">DS4SSCC</w:t>
        </w:r>
      </w:hyperlink>
    </w:p>
    <w:p>
      <w:pPr>
        <w:numPr>
          <w:ilvl w:val="1"/>
          <w:numId w:val="2"/>
        </w:numPr>
      </w:pPr>
      <w:r>
        <w:rPr/>
        <w:t xml:space="preserve">Upcoming events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3"/>
        </w:numPr>
      </w:pPr>
      <w:hyperlink r:id="rId14" w:history="1">
        <w:r>
          <w:rPr/>
          <w:t xml:space="preserve">Update from the EC</w:t>
        </w:r>
      </w:hyperlink>
    </w:p>
    <w:p>
      <w:pPr>
        <w:numPr>
          <w:ilvl w:val="1"/>
          <w:numId w:val="3"/>
        </w:numPr>
      </w:pPr>
      <w:r>
        <w:rPr/>
        <w:t xml:space="preserve">Ongoing and upcoming funding opportunities:		</w:t>
      </w:r>
      <w:r>
        <w:rPr/>
        <w:t xml:space="preserve">		</w:t>
      </w:r>
    </w:p>
    <w:p>
      <w:pPr>
        <w:numPr>
          <w:ilvl w:val="2"/>
          <w:numId w:val="3"/>
        </w:numPr>
      </w:pPr>
      <w:hyperlink r:id="rId15" w:history="1">
        <w:r>
          <w:rPr/>
          <w:t xml:space="preserve">Deployment of the Data Space for Smart communities</w:t>
        </w:r>
      </w:hyperlink>
      <w:r>
        <w:rPr/>
        <w:t xml:space="preserve"> • Validation of the blueprint via pilots on at least two of the European Green Deal action areas • Closing 24/1/23</w:t>
      </w:r>
    </w:p>
    <w:p>
      <w:pPr>
        <w:numPr>
          <w:ilvl w:val="2"/>
          <w:numId w:val="3"/>
        </w:numPr>
      </w:pPr>
      <w:hyperlink r:id="rId16" w:history="1">
        <w:r>
          <w:rPr/>
          <w:t xml:space="preserve">Help prepare the procurement and deployment of the interoperable local platforms</w:t>
        </w:r>
      </w:hyperlink>
      <w:r>
        <w:rPr/>
        <w:t xml:space="preserve"> • Procurement Lots 1 (Increase awareness and readiness of EU communities) • and 2 (Scale the deployment of an enabling digital infrastructure). • Both closing 23/1/23</w:t>
      </w:r>
    </w:p>
    <w:p>
      <w:pPr>
        <w:numPr>
          <w:ilvl w:val="2"/>
          <w:numId w:val="3"/>
        </w:numPr>
      </w:pPr>
      <w:hyperlink r:id="rId17" w:history="1">
        <w:r>
          <w:rPr/>
          <w:t xml:space="preserve">Procure a European toolbox for Local Digital Twins that all European cities could use when developing their digital twins</w:t>
        </w:r>
      </w:hyperlink>
      <w:r>
        <w:rPr/>
        <w:t xml:space="preserve"> • Prepare the technical specifications, Closing 27/12/22 </w:t>
      </w:r>
    </w:p>
    <w:p>
      <w:pPr>
        <w:numPr>
          <w:ilvl w:val="1"/>
          <w:numId w:val="3"/>
        </w:numPr>
      </w:pPr>
      <w:r>
        <w:rPr/>
        <w:t xml:space="preserve">Standardisation efforts - ITU actions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21D6F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2C457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16FFC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ers" TargetMode="External"/><Relationship Id="rId8" Type="http://schemas.openxmlformats.org/officeDocument/2006/relationships/hyperlink" Target="https://living-in.eu/" TargetMode="External"/><Relationship Id="rId9" Type="http://schemas.openxmlformats.org/officeDocument/2006/relationships/hyperlink" Target="https://scic.ec.europa.eu/ew/register/dgcnect/open_living_in_eu_supporters_meeting/e/lk/k/" TargetMode="External"/><Relationship Id="rId10" Type="http://schemas.openxmlformats.org/officeDocument/2006/relationships/hyperlink" Target="https://living-in.eu/declaration/we-signed" TargetMode="External"/><Relationship Id="rId11" Type="http://schemas.openxmlformats.org/officeDocument/2006/relationships/hyperlink" Target="https://www.youtube.com/watch?v=mVeLeHyxp9M" TargetMode="External"/><Relationship Id="rId12" Type="http://schemas.openxmlformats.org/officeDocument/2006/relationships/hyperlink" Target="https://www.youtube.com/watch?v=ulv71wGgDzg" TargetMode="External"/><Relationship Id="rId13" Type="http://schemas.openxmlformats.org/officeDocument/2006/relationships/hyperlink" Target="https://www.youtube.com/watch?v=-QsY0zZGqNQ" TargetMode="External"/><Relationship Id="rId14" Type="http://schemas.openxmlformats.org/officeDocument/2006/relationships/hyperlink" Target="https://www.youtube.com/watch?v=vI6EGQhVwB0" TargetMode="External"/><Relationship Id="rId15" Type="http://schemas.openxmlformats.org/officeDocument/2006/relationships/hyperlink" Target="https://digital-strategy.ec.europa.eu/en/events/info-day-deployment-data-space-smart-communities" TargetMode="External"/><Relationship Id="rId16" Type="http://schemas.openxmlformats.org/officeDocument/2006/relationships/hyperlink" Target="https://digital-strategy.ec.europa.eu/en/funding/advancing-initial-stages-transformation-smart-communities?pk_source=ec_newsroom&amp;pk_medium=email&amp;pk_campaign=dae%20Newsroom" TargetMode="External"/><Relationship Id="rId17" Type="http://schemas.openxmlformats.org/officeDocument/2006/relationships/hyperlink" Target="https://digital-strategy.ec.europa.eu/en/funding/procurement-technical-specifications-local-digital-twins-ldts-toolbo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2026-10-09T01:38:38+02:00</dcterms:created>
  <dcterms:modified xsi:type="dcterms:W3CDTF">2026-10-09T01:38:38+02:00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