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local, think global – digital tools for citizens</w:t>
      </w:r>
    </w:p>
    <w:p>
      <w:pPr/>
    </w:p>
    <w:p>
      <w:pPr>
        <w:spacing w:line="288" w:lineRule="auto"/>
      </w:pPr>
      <w:r>
        <w:rPr>
          <w:rFonts w:ascii="Arial" w:hAnsi="Arial" w:eastAsia="Arial" w:cs="Arial"/>
          <w:color w:val="000"/>
          <w:sz w:val="18"/>
          <w:szCs w:val="18"/>
        </w:rPr>
        <w:t xml:space="preserve">How can digital tools make citizens' lives better? Be it in the field of digital communications, public services, or AI technologies? This session will explore case studies of employment of digital tools by European cities and regions. Bringing together experts in various fields, to showcase innovative approaches and best practices for developing and deploying digital technology in a way that improves people's lives.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Vincent Mabillard</w:t>
      </w:r>
      <w:r>
        <w:rPr>
          <w:rFonts w:ascii="Arial" w:hAnsi="Arial" w:eastAsia="Arial" w:cs="Arial"/>
          <w:color w:val="000"/>
          <w:sz w:val="18"/>
          <w:szCs w:val="18"/>
        </w:rPr>
        <w:t xml:space="preserve">, Professor of Public Management at the Solvay Brussels School of Economics and Management, Université libre de Bruxelles, Belgium </w:t>
      </w:r>
    </w:p>
    <w:p>
      <w:pPr>
        <w:spacing w:line="288" w:lineRule="auto"/>
      </w:pPr>
      <w:r>
        <w:rPr>
          <w:rFonts w:ascii="Arial" w:hAnsi="Arial" w:eastAsia="Arial" w:cs="Arial"/>
          <w:color w:val="000"/>
          <w:sz w:val="18"/>
          <w:szCs w:val="18"/>
          <w:i w:val="1"/>
          <w:iCs w:val="1"/>
        </w:rPr>
        <w:t xml:space="preserve">Raphael Zumofen</w:t>
      </w:r>
      <w:r>
        <w:rPr>
          <w:rFonts w:ascii="Arial" w:hAnsi="Arial" w:eastAsia="Arial" w:cs="Arial"/>
          <w:color w:val="000"/>
          <w:sz w:val="18"/>
          <w:szCs w:val="18"/>
        </w:rPr>
        <w:t xml:space="preserve">, Research fellow at the HES-SO Valais-Wallis and at the Swiss Graduate School of Public Administration, University of Lausanne, Switzerland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2026-08-23T05:49:20+02:00</dcterms:created>
  <dcterms:modified xsi:type="dcterms:W3CDTF">2026-08-23T05:49:20+02:00</dcterms:modified>
</cp:coreProperties>
</file>

<file path=docProps/custom.xml><?xml version="1.0" encoding="utf-8"?>
<Properties xmlns="http://schemas.openxmlformats.org/officeDocument/2006/custom-properties" xmlns:vt="http://schemas.openxmlformats.org/officeDocument/2006/docPropsVTypes"/>
</file>