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an Inside-In towards an Outside-Out Urban Digital Twin: Business models and implementation challenges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From an Inside-In towards an Outside-Out Urban Digital Twin: Business models and implementation challenges</w:t>
      </w:r>
    </w:p>
    <w:p>
      <w:pPr>
        <w:spacing w:line="288" w:lineRule="auto"/>
      </w:pPr>
      <w:hyperlink r:id="rId7" w:history="1">
        <w:r>
          <w:rPr/>
          <w:t xml:space="preserve">https://www.isprs-ann-photogramm-remote-sens-spatial-inf-sci.net/VIII-4-W1-2021/25/2021/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sprs-ann-photogramm-remote-sens-spatial-inf-sci.net/VIII-4-W1-2021/25/20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2026-05-15T09:30:42+02:00</dcterms:created>
  <dcterms:modified xsi:type="dcterms:W3CDTF">2026-05-15T09:30:42+02:00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