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Smaller and Medium-sized Cities - Challenges and solutions to scaling up the digital transformation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event will be to look at the specific challenges and opportunities of digitalisation in smaller and medium-sized cities. Focusing in particular on the concept of interoperability as a means of accelerating digital service delivery and creating positive spill-over effects for the broader economy, we will discuss the key steps that should be taken by small and medium-sized cities or communities in their digitalisation journey and the EU tools available. Throughout the workshop, based on the Living-in.EU movement and Eurotowns experience, the participants will discuss what digital transition means in a local context, what the local challenges in implementing digital solutions are and what is needed at EU level in order to foster the localisation of the digital transformation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interactive setup, including splitting into parallel sessions/break-out rooms, will allow the participants to discuss particular aspects of the digital transformation at local level in detail, namely:</w:t>
      </w:r>
    </w:p>
    <w:p>
      <w:pPr>
        <w:numPr>
          <w:ilvl w:val="0"/>
          <w:numId w:val="1"/>
        </w:numPr>
      </w:pPr>
      <w:r>
        <w:rPr/>
        <w:t xml:space="preserve">Local challenges in implementing digital solutions</w:t>
      </w:r>
    </w:p>
    <w:p>
      <w:pPr>
        <w:numPr>
          <w:ilvl w:val="0"/>
          <w:numId w:val="1"/>
        </w:numPr>
      </w:pPr>
      <w:r>
        <w:rPr/>
        <w:t xml:space="preserve">EU tools for supporting digital transition</w:t>
      </w:r>
    </w:p>
    <w:p>
      <w:pPr>
        <w:numPr>
          <w:ilvl w:val="0"/>
          <w:numId w:val="1"/>
        </w:numPr>
      </w:pPr>
      <w:r>
        <w:rPr/>
        <w:t xml:space="preserve">Needs at EU level to foster the localisation of the digital transformation process</w:t>
      </w:r>
    </w:p>
    <w:p>
      <w:pPr>
        <w:numPr>
          <w:ilvl w:val="0"/>
          <w:numId w:val="1"/>
        </w:numPr>
      </w:pPr>
      <w:r>
        <w:rPr/>
        <w:t xml:space="preserve">Boosting the local digital ecosystem, for example through European Digital Innovation Hubs</w:t>
      </w:r>
    </w:p>
    <w:p>
      <w:pPr>
        <w:numPr>
          <w:ilvl w:val="0"/>
          <w:numId w:val="1"/>
        </w:numPr>
      </w:pPr>
      <w:r>
        <w:rPr/>
        <w:t xml:space="preserve">Measuring the effectiveness of the digital transition.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0A7A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2026-06-19T22:27:44+02:00</dcterms:created>
  <dcterms:modified xsi:type="dcterms:W3CDTF">2026-06-19T22:27:44+02:00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