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Leading the Digital Decade Event</w:t>
      </w:r>
    </w:p>
    <w:p>
      <w:pPr/>
    </w:p>
    <w:p>
      <w:pPr>
        <w:spacing w:line="288" w:lineRule="auto"/>
      </w:pPr>
      <w:r>
        <w:rPr>
          <w:rFonts w:ascii="Arial" w:hAnsi="Arial" w:eastAsia="Arial" w:cs="Arial"/>
          <w:color w:val="000"/>
          <w:sz w:val="18"/>
          <w:szCs w:val="18"/>
        </w:rPr>
        <w:t xml:space="preserve">Leading the Digital Decade, held 1-2 June, is a two-day online event focused on Europe’s digital transformation towards 2030.</w:t>
      </w:r>
    </w:p>
    <w:p>
      <w:pPr>
        <w:spacing w:line="288" w:lineRule="auto"/>
      </w:pPr>
      <w:r>
        <w:rPr>
          <w:rFonts w:ascii="Arial" w:hAnsi="Arial" w:eastAsia="Arial" w:cs="Arial"/>
          <w:color w:val="000"/>
          <w:sz w:val="18"/>
          <w:szCs w:val="18"/>
        </w:rPr>
        <w:t xml:space="preserve">What should the future of digital in Europe be? What should our 2030 goals be when it comes to digital transformation? How can we make sure we meet our objectives?</w:t>
      </w:r>
    </w:p>
    <w:p>
      <w:pPr>
        <w:spacing w:line="288" w:lineRule="auto"/>
      </w:pPr>
      <w:r>
        <w:rPr>
          <w:rFonts w:ascii="Arial" w:hAnsi="Arial" w:eastAsia="Arial" w:cs="Arial"/>
          <w:color w:val="000"/>
          <w:sz w:val="18"/>
          <w:szCs w:val="18"/>
        </w:rPr>
        <w:t xml:space="preserve">These are the main questions that Leading the Digital Decade aims to answer.</w:t>
      </w:r>
    </w:p>
    <w:p>
      <w:pPr>
        <w:spacing w:line="288" w:lineRule="auto"/>
      </w:pPr>
      <w:r>
        <w:rPr>
          <w:rFonts w:ascii="Arial" w:hAnsi="Arial" w:eastAsia="Arial" w:cs="Arial"/>
          <w:color w:val="000"/>
          <w:sz w:val="18"/>
          <w:szCs w:val="18"/>
        </w:rPr>
        <w:t xml:space="preserve">The past 18 months have radically transformed Europe and the world. Because of the ongoing pandemic, the world has digitalised faster than ever before. Digital is what has kept our society going. It has also widened the gap between those who have the means to shift to digital and enjoy its benefits and those who do not. </w:t>
      </w:r>
    </w:p>
    <w:p>
      <w:pPr>
        <w:spacing w:line="288" w:lineRule="auto"/>
      </w:pPr>
      <w:r>
        <w:rPr>
          <w:rFonts w:ascii="Arial" w:hAnsi="Arial" w:eastAsia="Arial" w:cs="Arial"/>
          <w:color w:val="000"/>
          <w:sz w:val="18"/>
          <w:szCs w:val="18"/>
        </w:rPr>
        <w:t xml:space="preserve">At this crossroads, Europe must define its path going forward. </w:t>
      </w:r>
    </w:p>
    <w:p>
      <w:pPr>
        <w:spacing w:line="288" w:lineRule="auto"/>
      </w:pPr>
      <w:r>
        <w:rPr>
          <w:rFonts w:ascii="Arial" w:hAnsi="Arial" w:eastAsia="Arial" w:cs="Arial"/>
          <w:color w:val="000"/>
          <w:sz w:val="18"/>
          <w:szCs w:val="18"/>
        </w:rPr>
        <w:t xml:space="preserve">Leading the Digital Decade focuses on defining this path. This two-day event is co-organised by the European Commission and the Portuguese Presidency of the Council of the European Union and will be held </w:t>
      </w:r>
      <w:r>
        <w:rPr>
          <w:rFonts w:ascii="Arial" w:hAnsi="Arial" w:eastAsia="Arial" w:cs="Arial"/>
          <w:color w:val="000"/>
          <w:sz w:val="18"/>
          <w:szCs w:val="18"/>
          <w:b w:val="1"/>
          <w:bCs w:val="1"/>
        </w:rPr>
        <w:t xml:space="preserve">virtually on 1 and 2 June 2021</w:t>
      </w:r>
      <w:r>
        <w:rPr>
          <w:rFonts w:ascii="Arial" w:hAnsi="Arial" w:eastAsia="Arial" w:cs="Arial"/>
          <w:color w:val="000"/>
          <w:sz w:val="18"/>
          <w:szCs w:val="18"/>
        </w:rPr>
        <w:t xml:space="preserve">.</w:t>
      </w:r>
    </w:p>
    <w:p>
      <w:pPr>
        <w:pStyle w:val="Heading2"/>
      </w:pPr>
      <w:r>
        <w:rPr/>
        <w:t xml:space="preserve">Day 1</w:t>
      </w:r>
    </w:p>
    <w:p>
      <w:pPr>
        <w:spacing w:line="288" w:lineRule="auto"/>
      </w:pPr>
      <w:r>
        <w:rPr>
          <w:rFonts w:ascii="Arial" w:hAnsi="Arial" w:eastAsia="Arial" w:cs="Arial"/>
          <w:color w:val="000"/>
          <w:sz w:val="18"/>
          <w:szCs w:val="18"/>
        </w:rPr>
        <w:t xml:space="preserve">The starting point of the first day’s debate is the Communication </w:t>
      </w:r>
      <w:hyperlink r:id="rId7" w:history="1">
        <w:r>
          <w:rPr/>
          <w:t xml:space="preserve">2030 Digital Compass: the European way for the Digital Decade</w:t>
        </w:r>
      </w:hyperlink>
      <w:r>
        <w:rPr>
          <w:rFonts w:ascii="Arial" w:hAnsi="Arial" w:eastAsia="Arial" w:cs="Arial"/>
          <w:color w:val="000"/>
          <w:sz w:val="18"/>
          <w:szCs w:val="18"/>
        </w:rPr>
        <w:t xml:space="preserve">. Its vision is clear: everyone in Europe can and should benefit from digital.</w:t>
      </w:r>
    </w:p>
    <w:p>
      <w:pPr>
        <w:spacing w:line="288" w:lineRule="auto"/>
      </w:pPr>
      <w:r>
        <w:rPr>
          <w:rFonts w:ascii="Arial" w:hAnsi="Arial" w:eastAsia="Arial" w:cs="Arial"/>
          <w:color w:val="000"/>
          <w:sz w:val="18"/>
          <w:szCs w:val="18"/>
        </w:rPr>
        <w:t xml:space="preserve">To make this a reality, we need to improve on digital skills, infrastructure and use of technology by people, companies and public administrations. </w:t>
      </w:r>
    </w:p>
    <w:p>
      <w:pPr>
        <w:pStyle w:val="Heading2"/>
      </w:pPr>
      <w:r>
        <w:rPr/>
        <w:t xml:space="preserve">Day 2</w:t>
      </w:r>
    </w:p>
    <w:p>
      <w:pPr>
        <w:spacing w:line="288" w:lineRule="auto"/>
      </w:pPr>
      <w:r>
        <w:rPr>
          <w:rFonts w:ascii="Arial" w:hAnsi="Arial" w:eastAsia="Arial" w:cs="Arial"/>
          <w:color w:val="000"/>
          <w:sz w:val="18"/>
          <w:szCs w:val="18"/>
        </w:rPr>
        <w:t xml:space="preserve">The second day will be dedicated to the launch of the </w:t>
      </w:r>
      <w:hyperlink r:id="rId8" w:history="1">
        <w:r>
          <w:rPr/>
          <w:t xml:space="preserve">Digital Europe Programme</w:t>
        </w:r>
      </w:hyperlink>
      <w:r>
        <w:rPr>
          <w:rFonts w:ascii="Arial" w:hAnsi="Arial" w:eastAsia="Arial" w:cs="Arial"/>
          <w:color w:val="000"/>
          <w:sz w:val="18"/>
          <w:szCs w:val="18"/>
        </w:rPr>
        <w:t xml:space="preserve">, the first financial instrument of the EU to specifically finance European projects on digital. The Digital Europe Programme will accelerate the economic recovery and shape the digital transformation of Europe benefiting citizens and businesses. </w:t>
      </w:r>
    </w:p>
    <w:p>
      <w:pPr>
        <w:spacing w:line="288" w:lineRule="auto"/>
      </w:pPr>
      <w:r>
        <w:rPr>
          <w:rFonts w:ascii="Arial" w:hAnsi="Arial" w:eastAsia="Arial" w:cs="Arial"/>
          <w:color w:val="000"/>
          <w:sz w:val="18"/>
          <w:szCs w:val="18"/>
        </w:rPr>
        <w:t xml:space="preserve">The Digital Europe Programme will provide funding for projects in five areas: </w:t>
      </w:r>
    </w:p>
    <w:p>
      <w:pPr>
        <w:numPr>
          <w:ilvl w:val="0"/>
          <w:numId w:val="1"/>
        </w:numPr>
      </w:pPr>
      <w:r>
        <w:rPr/>
        <w:t xml:space="preserve">supercomputing</w:t>
      </w:r>
    </w:p>
    <w:p>
      <w:pPr>
        <w:numPr>
          <w:ilvl w:val="0"/>
          <w:numId w:val="1"/>
        </w:numPr>
      </w:pPr>
      <w:r>
        <w:rPr/>
        <w:t xml:space="preserve">artificial intelligence</w:t>
      </w:r>
    </w:p>
    <w:p>
      <w:pPr>
        <w:numPr>
          <w:ilvl w:val="0"/>
          <w:numId w:val="1"/>
        </w:numPr>
      </w:pPr>
      <w:r>
        <w:rPr/>
        <w:t xml:space="preserve">cybersecurity</w:t>
      </w:r>
    </w:p>
    <w:p>
      <w:pPr>
        <w:numPr>
          <w:ilvl w:val="0"/>
          <w:numId w:val="1"/>
        </w:numPr>
      </w:pPr>
      <w:r>
        <w:rPr/>
        <w:t xml:space="preserve">advanced digital skills</w:t>
      </w:r>
    </w:p>
    <w:p>
      <w:pPr>
        <w:numPr>
          <w:ilvl w:val="0"/>
          <w:numId w:val="1"/>
        </w:numPr>
      </w:pPr>
      <w:r>
        <w:rPr/>
        <w:t xml:space="preserve">use of digital technologies across the economy and society</w:t>
      </w:r>
    </w:p>
    <w:p>
      <w:pPr>
        <w:spacing w:line="288" w:lineRule="auto"/>
      </w:pPr>
      <w:hyperlink r:id="rId9" w:history="1">
        <w:r>
          <w:rPr/>
          <w:t xml:space="preserve">Visit the event website to view the programme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8E0AD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digital-strategy.ec.europa.eu/en/activities/digital-programme" TargetMode="External"/><Relationship Id="rId9" Type="http://schemas.openxmlformats.org/officeDocument/2006/relationships/hyperlink" Target="https://leading-the-digital-deca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2026-07-16T21:15:15+02:00</dcterms:created>
  <dcterms:modified xsi:type="dcterms:W3CDTF">2026-07-16T21:15:15+02:00</dcterms:modified>
</cp:coreProperties>
</file>

<file path=docProps/custom.xml><?xml version="1.0" encoding="utf-8"?>
<Properties xmlns="http://schemas.openxmlformats.org/officeDocument/2006/custom-properties" xmlns:vt="http://schemas.openxmlformats.org/officeDocument/2006/docPropsVTypes"/>
</file>