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Smart and Green Communities session - Leading the Digital Decade Event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Join us at the Smart and Green communities’ session on the 2nd June 16:15 to 17:00 CET and find out about funding opportunities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ustainable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S</w:t>
      </w:r>
      <w:r>
        <w:rPr>
          <w:rFonts w:ascii="Arial" w:hAnsi="Arial" w:eastAsia="Arial" w:cs="Arial"/>
          <w:color w:val="000"/>
          <w:sz w:val="18"/>
          <w:szCs w:val="18"/>
        </w:rPr>
        <w:t xml:space="preserve">mart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ities and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C</w:t>
      </w:r>
      <w:r>
        <w:rPr>
          <w:rFonts w:ascii="Arial" w:hAnsi="Arial" w:eastAsia="Arial" w:cs="Arial"/>
          <w:color w:val="000"/>
          <w:sz w:val="18"/>
          <w:szCs w:val="18"/>
        </w:rPr>
        <w:t xml:space="preserve">ommunities (SSCC) topics in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Digital Europe Programme (DIGITAL)</w:t>
      </w:r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Cristina Martinez, Deputy Head of the Unit Technologies for Smart Communities, and Andrea Halmos, Policy Officer, will give insights into our vision and long-term strategy for SSCC, present the foreseen calls in the first Work Programme and answer your questions during the Q&amp;A.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Cities are at the forefront of many challenges: social, economic and environmental, they deliver innovation and services that greatly influence the quality of life of citizens, and they are close to the citizen in terms of governance and communication.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Smart and sustainable cities and communities need an integrated and city-oriented approach to deal with the urban dimension of these problems, create and scale-up appropriate solutions and eventually embrace the so-called “twin” green and digital transition.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European Commission aims to support cities and communities in these efforts; helping them to pursue their digital transformation regardless of their digital maturity. With the ultimate goal to equip our cities and communities with data-driven decision-making support tools, such as the so-called ‘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Twins’</w:t>
      </w:r>
      <w:r>
        <w:rPr>
          <w:rFonts w:ascii="Arial" w:hAnsi="Arial" w:eastAsia="Arial" w:cs="Arial"/>
          <w:color w:val="000"/>
          <w:sz w:val="18"/>
          <w:szCs w:val="18"/>
        </w:rPr>
        <w:t xml:space="preserve">, funding under the Digital Europe Programme will support the implementation of the necessary digital enablers and create EU capacity for-large-scale deployment.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Our first Digital work programme actions will focus on 4 points. The need to: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Steer the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governance aspects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(cross-sector, cross-communities)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Create a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dataspace for climate-neutral and smart communities </w:t>
      </w:r>
      <w:r>
        <w:rPr>
          <w:rFonts w:ascii="Arial" w:hAnsi="Arial" w:eastAsia="Arial" w:cs="Arial"/>
          <w:color w:val="000"/>
          <w:sz w:val="18"/>
          <w:szCs w:val="18"/>
        </w:rPr>
        <w:t xml:space="preserve">as part of the Green Deal data space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Support the procurement of interoperable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Data Platforms, and 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o  Build capacity for </w:t>
      </w: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Local Digital Twins in Europe </w:t>
      </w:r>
      <w:r>
        <w:rPr>
          <w:rFonts w:ascii="Arial" w:hAnsi="Arial" w:eastAsia="Arial" w:cs="Arial"/>
          <w:color w:val="000"/>
          <w:sz w:val="18"/>
          <w:szCs w:val="18"/>
        </w:rPr>
        <w:t xml:space="preserve">(by addressing the supply and the demand sides)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Register for the event </w:t>
      </w:r>
      <w:hyperlink r:id="rId7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Draft Agenda </w:t>
      </w:r>
      <w:hyperlink r:id="rId8" w:history="1">
        <w:r>
          <w:rPr/>
          <w:t xml:space="preserve">here</w:t>
        </w:r>
      </w:hyperlink>
      <w:r>
        <w:rPr>
          <w:rFonts w:ascii="Arial" w:hAnsi="Arial" w:eastAsia="Arial" w:cs="Arial"/>
          <w:color w:val="000"/>
          <w:sz w:val="18"/>
          <w:szCs w:val="18"/>
        </w:rPr>
        <w:t xml:space="preserve">.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Watch video: </w:t>
      </w:r>
      <w:hyperlink r:id="rId9" w:history="1">
        <w:r>
          <w:rPr/>
          <w:t xml:space="preserve">VIDELIO-MULTITRACKS-VOD (creacast.com)</w:t>
        </w:r>
      </w:hyperlink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scic.ec.europa.eu/ew/register/dgscic/Digital_Decade_2021/m/l/kk/" TargetMode="External"/><Relationship Id="rId8" Type="http://schemas.openxmlformats.org/officeDocument/2006/relationships/hyperlink" Target="https://leading-the-digital-decade.eu/" TargetMode="External"/><Relationship Id="rId9" Type="http://schemas.openxmlformats.org/officeDocument/2006/relationships/hyperlink" Target="https://www.creacast.com/play.php?su=videlio-multitracks-vod&amp;furl=videlio-plessis-vod/CommissionEuropeenne/LDD/GREEN.sm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2026-09-15T05:25:00+02:00</dcterms:created>
  <dcterms:modified xsi:type="dcterms:W3CDTF">2026-09-15T05:25:00+02:00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