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Towards green, smart and affordable mobility services in cities and communities - 2nd B2G data sharing workshop</w:t>
      </w:r>
    </w:p>
    <w:p>
      <w:pPr/>
    </w:p>
    <w:p>
      <w:pPr>
        <w:spacing w:line="288" w:lineRule="auto"/>
      </w:pPr>
      <w:r>
        <w:rPr>
          <w:rFonts w:ascii="Arial" w:hAnsi="Arial" w:eastAsia="Arial" w:cs="Arial"/>
          <w:color w:val="000"/>
          <w:sz w:val="18"/>
          <w:szCs w:val="18"/>
        </w:rPr>
        <w:t xml:space="preserve">Green, smart and affordable mobility is an ambition of many European Cities. The second in a </w:t>
      </w:r>
      <w:hyperlink r:id="rId7" w:history="1">
        <w:r>
          <w:rPr/>
          <w:t xml:space="preserve">series of 5 workshops</w:t>
        </w:r>
      </w:hyperlink>
      <w:r>
        <w:rPr>
          <w:rFonts w:ascii="Arial" w:hAnsi="Arial" w:eastAsia="Arial" w:cs="Arial"/>
          <w:color w:val="000"/>
          <w:sz w:val="18"/>
          <w:szCs w:val="18"/>
        </w:rPr>
        <w:t xml:space="preserve"> on business to government (B2G) data sharing in cities focused precisely on mobility use cases. The workshop took place on the 19th of May and began with Barcelona, Lisbon and Pilsen sharing their use cases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productive and open peer-to-peer discussion on the topic followed, with the participation of over 40 city representatives and several European Commission representatives. Federica Bordelot from Eurocities moderated the workshop.</w:t>
      </w:r>
    </w:p>
    <w:p>
      <w:pPr>
        <w:spacing w:line="288" w:lineRule="auto"/>
      </w:pPr>
      <w:hyperlink r:id="rId8" w:history="1">
        <w:r>
          <w:rPr/>
          <w:t xml:space="preserve">Barcelona</w:t>
        </w:r>
      </w:hyperlink>
      <w:r>
        <w:rPr>
          <w:rFonts w:ascii="Arial" w:hAnsi="Arial" w:eastAsia="Arial" w:cs="Arial"/>
          <w:color w:val="000"/>
          <w:sz w:val="18"/>
          <w:szCs w:val="18"/>
        </w:rPr>
        <w:t xml:space="preserve"> was the first city to share cases of business data being used:</w:t>
      </w:r>
    </w:p>
    <w:p>
      <w:pPr>
        <w:numPr>
          <w:ilvl w:val="0"/>
          <w:numId w:val="1"/>
        </w:numPr>
      </w:pPr>
      <w:r>
        <w:rPr/>
        <w:t xml:space="preserve">To feed a driver support system that helps prevent collisions with pedestrians and cyclist</w:t>
      </w:r>
    </w:p>
    <w:p>
      <w:pPr>
        <w:numPr>
          <w:ilvl w:val="0"/>
          <w:numId w:val="1"/>
        </w:numPr>
      </w:pPr>
      <w:r>
        <w:rPr/>
        <w:t xml:space="preserve">To better coordinate roadworks by utilities companies</w:t>
      </w:r>
    </w:p>
    <w:p>
      <w:pPr>
        <w:numPr>
          <w:ilvl w:val="0"/>
          <w:numId w:val="1"/>
        </w:numPr>
      </w:pPr>
      <w:r>
        <w:rPr/>
        <w:t xml:space="preserve">For mobility sharing, where different bicycle and motorcycle companies share their data, allowing the city to control and monitor fleets</w:t>
      </w:r>
    </w:p>
    <w:p>
      <w:pPr>
        <w:spacing w:line="288" w:lineRule="auto"/>
      </w:pPr>
      <w:r>
        <w:rPr>
          <w:rFonts w:ascii="Arial" w:hAnsi="Arial" w:eastAsia="Arial" w:cs="Arial"/>
          <w:color w:val="000"/>
          <w:sz w:val="18"/>
          <w:szCs w:val="18"/>
        </w:rPr>
        <w:t xml:space="preserve"> </w:t>
      </w:r>
    </w:p>
    <w:p>
      <w:pPr>
        <w:spacing w:line="288" w:lineRule="auto"/>
      </w:pPr>
      <w:hyperlink r:id="rId9" w:history="1">
        <w:r>
          <w:rPr/>
          <w:t xml:space="preserve">Lisbon</w:t>
        </w:r>
      </w:hyperlink>
      <w:r>
        <w:rPr>
          <w:rFonts w:ascii="Arial" w:hAnsi="Arial" w:eastAsia="Arial" w:cs="Arial"/>
          <w:color w:val="000"/>
          <w:sz w:val="18"/>
          <w:szCs w:val="18"/>
        </w:rPr>
        <w:t xml:space="preserve"> presented cases on the use of data:</w:t>
      </w:r>
    </w:p>
    <w:p>
      <w:pPr>
        <w:numPr>
          <w:ilvl w:val="0"/>
          <w:numId w:val="2"/>
        </w:numPr>
      </w:pPr>
      <w:r>
        <w:rPr/>
        <w:t xml:space="preserve">For transparency on urban roadworks, through a platform, which uses map information to help to analyse and manage roadworks (to align and avoid big traffic jams)</w:t>
      </w:r>
    </w:p>
    <w:p>
      <w:pPr>
        <w:numPr>
          <w:ilvl w:val="0"/>
          <w:numId w:val="2"/>
        </w:numPr>
      </w:pPr>
      <w:r>
        <w:rPr/>
        <w:t xml:space="preserve">On Micro-Mobility, bikes and scooters, with the development of a platform, which fetches data from numerous operators, in order to monitor use, routes and parking.</w:t>
      </w:r>
    </w:p>
    <w:p>
      <w:pPr>
        <w:numPr>
          <w:ilvl w:val="0"/>
          <w:numId w:val="2"/>
        </w:numPr>
      </w:pPr>
      <w:r>
        <w:rPr/>
        <w:t xml:space="preserve">For road safety: analysing all the data from the national police to better understand why accidents happen.</w:t>
      </w:r>
    </w:p>
    <w:p>
      <w:pPr>
        <w:spacing w:line="288" w:lineRule="auto"/>
      </w:pPr>
      <w:r>
        <w:rPr>
          <w:rFonts w:ascii="Arial" w:hAnsi="Arial" w:eastAsia="Arial" w:cs="Arial"/>
          <w:color w:val="000"/>
          <w:sz w:val="18"/>
          <w:szCs w:val="18"/>
        </w:rPr>
        <w:t xml:space="preserve"> </w:t>
      </w:r>
    </w:p>
    <w:p>
      <w:pPr>
        <w:spacing w:line="288" w:lineRule="auto"/>
      </w:pPr>
      <w:hyperlink r:id="rId10" w:history="1">
        <w:r>
          <w:rPr/>
          <w:t xml:space="preserve">Pilsen</w:t>
        </w:r>
      </w:hyperlink>
      <w:r>
        <w:rPr>
          <w:rFonts w:ascii="Arial" w:hAnsi="Arial" w:eastAsia="Arial" w:cs="Arial"/>
          <w:color w:val="000"/>
          <w:sz w:val="18"/>
          <w:szCs w:val="18"/>
        </w:rPr>
        <w:t xml:space="preserve"> shared cases on the use of data:</w:t>
      </w:r>
    </w:p>
    <w:p>
      <w:pPr>
        <w:numPr>
          <w:ilvl w:val="0"/>
          <w:numId w:val="3"/>
        </w:numPr>
      </w:pPr>
      <w:r>
        <w:rPr/>
        <w:t xml:space="preserve">From Mobility, traffic sensors, to understand the traffic in the city and use it for modelling and infrastructure planning.</w:t>
      </w:r>
    </w:p>
    <w:p>
      <w:pPr>
        <w:numPr>
          <w:ilvl w:val="0"/>
          <w:numId w:val="3"/>
        </w:numPr>
      </w:pPr>
      <w:r>
        <w:rPr/>
        <w:t xml:space="preserve">For event visitor analysis, procuring data from Telecom operator, to see what regions people come from and compare it to other times of the year.</w:t>
      </w:r>
    </w:p>
    <w:p>
      <w:pPr>
        <w:numPr>
          <w:ilvl w:val="0"/>
          <w:numId w:val="3"/>
        </w:numPr>
      </w:pPr>
      <w:r>
        <w:rPr/>
        <w:t xml:space="preserve">To get information on traffic density, using the data collected by city CCV cameras with intelligent data module</w:t>
      </w:r>
    </w:p>
    <w:p>
      <w:pPr>
        <w:numPr>
          <w:ilvl w:val="0"/>
          <w:numId w:val="3"/>
        </w:numPr>
      </w:pPr>
      <w:r>
        <w:rPr/>
        <w:t xml:space="preserve">To map the city traffic and the use of cycling paths using data coming from bike-sharing companies.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A dynamic discussion followed, some of the points raised were:</w:t>
      </w:r>
    </w:p>
    <w:p>
      <w:pPr>
        <w:numPr>
          <w:ilvl w:val="0"/>
          <w:numId w:val="4"/>
        </w:numPr>
      </w:pPr>
      <w:r>
        <w:rPr/>
        <w:t xml:space="preserve">Although cities have different objectives, there seems to be a common set of data that will be useful for all of them (survival data kit). It would make a lot of sense if cities could jointly carry out negotiations with companies to obtain better conditions. If access to BigTech data is needed, the data should be provided to them in a user-friendly, aggregated format, so they often favor national or even European access points.</w:t>
      </w:r>
    </w:p>
    <w:p>
      <w:pPr>
        <w:numPr>
          <w:ilvl w:val="0"/>
          <w:numId w:val="4"/>
        </w:numPr>
      </w:pPr>
      <w:r>
        <w:rPr/>
        <w:t xml:space="preserve">The examples shown suggest that access to business data is often the result of a procurement, purchase agreement or legal obligation, licensing agreement and is less so the result of data altruism, win-win cooperation agreements or PPP. These could be further explored. See workshop 1 for further information.</w:t>
      </w:r>
    </w:p>
    <w:p>
      <w:pPr>
        <w:numPr>
          <w:ilvl w:val="0"/>
          <w:numId w:val="4"/>
        </w:numPr>
      </w:pPr>
      <w:r>
        <w:rPr/>
        <w:t xml:space="preserve">It would also be interesting to see how data from mobility can be combined with data from other domains and whether there are examples of such B2G data sharing.</w:t>
      </w:r>
    </w:p>
    <w:p>
      <w:pPr>
        <w:numPr>
          <w:ilvl w:val="0"/>
          <w:numId w:val="4"/>
        </w:numPr>
      </w:pPr>
      <w:r>
        <w:rPr/>
        <w:t xml:space="preserve">Getting access to data is not only the matter of cost, but also capacity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Workshop report</w:t>
      </w:r>
      <w:hyperlink r:id="rId11" w:history="1">
        <w:r>
          <w:rPr/>
          <w:t xml:space="preserve">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Next workshop will take place on the 9th of June 10h to 11h30 CET and will focus on </w:t>
      </w:r>
      <w:r>
        <w:rPr>
          <w:rFonts w:ascii="Arial" w:hAnsi="Arial" w:eastAsia="Arial" w:cs="Arial"/>
          <w:color w:val="000"/>
          <w:sz w:val="18"/>
          <w:szCs w:val="18"/>
          <w:b w:val="1"/>
          <w:bCs w:val="1"/>
        </w:rPr>
        <w:t xml:space="preserve">B2G data sharing in energy use cases</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i w:val="1"/>
          <w:iCs w:val="1"/>
        </w:rPr>
        <w:t xml:space="preserve">Welcome and introduction by moderator Federica Bordelot, policy advisor, Eurocities</w:t>
      </w:r>
    </w:p>
    <w:p>
      <w:pPr>
        <w:spacing w:line="288" w:lineRule="auto"/>
      </w:pPr>
      <w:r>
        <w:rPr>
          <w:rFonts w:ascii="Arial" w:hAnsi="Arial" w:eastAsia="Arial" w:cs="Arial"/>
          <w:color w:val="000"/>
          <w:sz w:val="18"/>
          <w:szCs w:val="18"/>
          <w:i w:val="1"/>
          <w:iCs w:val="1"/>
        </w:rPr>
        <w:t xml:space="preserve">Boosting smart energy in cities and communities: lessons learned from B2G energy data sharing </w:t>
      </w:r>
    </w:p>
    <w:p>
      <w:pPr>
        <w:numPr>
          <w:ilvl w:val="0"/>
          <w:numId w:val="5"/>
        </w:numPr>
      </w:pPr>
      <w:r>
        <w:rPr>
          <w:i w:val="1"/>
          <w:iCs w:val="1"/>
        </w:rPr>
        <w:t xml:space="preserve">Use case from Rennes by Marion Glatron, smart cities and innovation director, Rennes Metropole</w:t>
      </w:r>
    </w:p>
    <w:p>
      <w:pPr>
        <w:numPr>
          <w:ilvl w:val="0"/>
          <w:numId w:val="5"/>
        </w:numPr>
      </w:pPr>
      <w:r>
        <w:rPr>
          <w:i w:val="1"/>
          <w:iCs w:val="1"/>
        </w:rPr>
        <w:t xml:space="preserve">Use case from Helsinki by Timo Ruohomki, Director, IoT and Data, Forum Virium Helsinki</w:t>
      </w:r>
    </w:p>
    <w:p>
      <w:pPr>
        <w:numPr>
          <w:ilvl w:val="0"/>
          <w:numId w:val="5"/>
        </w:numPr>
      </w:pPr>
      <w:r>
        <w:rPr>
          <w:i w:val="1"/>
          <w:iCs w:val="1"/>
        </w:rPr>
        <w:t xml:space="preserve">Use case from Milan by Roberto Nocerino, project manager, municipality of Milan</w:t>
      </w:r>
    </w:p>
    <w:p>
      <w:pPr>
        <w:spacing w:line="288" w:lineRule="auto"/>
      </w:pPr>
      <w:r>
        <w:rPr>
          <w:rFonts w:ascii="Arial" w:hAnsi="Arial" w:eastAsia="Arial" w:cs="Arial"/>
          <w:color w:val="000"/>
          <w:sz w:val="18"/>
          <w:szCs w:val="18"/>
          <w:i w:val="1"/>
          <w:iCs w:val="1"/>
        </w:rPr>
        <w:t xml:space="preserve">Q&amp;A </w:t>
      </w:r>
    </w:p>
    <w:p>
      <w:pPr>
        <w:spacing w:line="288" w:lineRule="auto"/>
      </w:pPr>
      <w:r>
        <w:rPr>
          <w:rFonts w:ascii="Arial" w:hAnsi="Arial" w:eastAsia="Arial" w:cs="Arial"/>
          <w:color w:val="000"/>
          <w:sz w:val="18"/>
          <w:szCs w:val="18"/>
          <w:i w:val="1"/>
          <w:iCs w:val="1"/>
        </w:rPr>
        <w:t xml:space="preserve">Conclusion and next steps</w:t>
      </w:r>
    </w:p>
    <w:p>
      <w:pPr>
        <w:spacing w:line="288" w:lineRule="auto"/>
      </w:pPr>
      <w:r>
        <w:rPr>
          <w:rFonts w:ascii="Arial" w:hAnsi="Arial" w:eastAsia="Arial" w:cs="Arial"/>
          <w:color w:val="000"/>
          <w:sz w:val="18"/>
          <w:szCs w:val="18"/>
        </w:rPr>
        <w:t xml:space="preserve">For background information, please see </w:t>
      </w:r>
      <w:hyperlink r:id="rId12"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your city is interested in taking part please contact us at CNECT-C3@ec.europa.eu.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7725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B859A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8533B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86637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B34AE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ec.europa.eu/newsroom//api/document/76466" TargetMode="External"/><Relationship Id="rId9" Type="http://schemas.openxmlformats.org/officeDocument/2006/relationships/hyperlink" Target="https://ec.europa.eu/newsroom//api/document/76482" TargetMode="External"/><Relationship Id="rId10" Type="http://schemas.openxmlformats.org/officeDocument/2006/relationships/hyperlink" Target="https://ec.europa.eu/newsroom//api/document/76467" TargetMode="External"/><Relationship Id="rId11" Type="http://schemas.openxmlformats.org/officeDocument/2006/relationships/hyperlink" Target="https://ec.europa.eu/newsroom//api/document/76519" TargetMode="External"/><Relationship Id="rId12" Type="http://schemas.openxmlformats.org/officeDocument/2006/relationships/hyperlink" Target="https://ec.europa.eu/information_society/newsroom/image/document/2021-17/b2g_data_sharing_workshop_background_858A9267-EEEF-53E4-C78446EBAE220420_757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2026-08-05T09:50:31+02:00</dcterms:created>
  <dcterms:modified xsi:type="dcterms:W3CDTF">2026-08-05T09:50:31+02:00</dcterms:modified>
</cp:coreProperties>
</file>

<file path=docProps/custom.xml><?xml version="1.0" encoding="utf-8"?>
<Properties xmlns="http://schemas.openxmlformats.org/officeDocument/2006/custom-properties" xmlns:vt="http://schemas.openxmlformats.org/officeDocument/2006/docPropsVTypes"/>
</file>