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Position Paper</w:t>
      </w:r>
    </w:p>
    <w:p>
      <w:pPr/>
    </w:p>
    <w:p>
      <w:pPr>
        <w:spacing w:line="288" w:lineRule="auto"/>
      </w:pPr>
      <w:r>
        <w:rPr>
          <w:rFonts w:ascii="Arial" w:hAnsi="Arial" w:eastAsia="Arial" w:cs="Arial"/>
          <w:color w:val="000"/>
          <w:sz w:val="18"/>
          <w:szCs w:val="18"/>
        </w:rPr>
        <w:t xml:space="preserve">An overview of the purpose, scope, and guiding principles of the Data Space for Smart Cities and Communities. It defines the strategic role and current positioning of the initiative within the evolving Common European Data Spaces (CEDS) framework and European smart communities' landscape.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2026-10-24T00:46:20+02:00</dcterms:created>
  <dcterms:modified xsi:type="dcterms:W3CDTF">2026-10-24T00:46:20+02:00</dcterms:modified>
</cp:coreProperties>
</file>

<file path=docProps/custom.xml><?xml version="1.0" encoding="utf-8"?>
<Properties xmlns="http://schemas.openxmlformats.org/officeDocument/2006/custom-properties" xmlns:vt="http://schemas.openxmlformats.org/officeDocument/2006/docPropsVTypes"/>
</file>