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9.0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intended audience for this document are:</w:t>
      </w:r>
    </w:p>
    <w:p>
      <w:pPr>
        <w:numPr>
          <w:ilvl w:val="0"/>
          <w:numId w:val="1"/>
        </w:numPr>
      </w:pPr>
      <w:r>
        <w:rPr/>
        <w:t xml:space="preserve">Solution providers that wish to make sure their solutions are interoperable with other and allow fluid exchange of data within a Smart Cities and Communities context.</w:t>
      </w:r>
    </w:p>
    <w:p>
      <w:pPr>
        <w:numPr>
          <w:ilvl w:val="0"/>
          <w:numId w:val="1"/>
        </w:numPr>
      </w:pPr>
      <w:r>
        <w:rPr/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395D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2026-11-07T11:22:20+01:00</dcterms:created>
  <dcterms:modified xsi:type="dcterms:W3CDTF">2026-11-07T11:22:20+01:00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