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Finnish national activation session on Local Digital Twins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w:t>
      </w:r>
      <w:r>
        <w:rPr>
          <w:rFonts w:ascii="Arial" w:hAnsi="Arial" w:eastAsia="Arial" w:cs="Arial"/>
          <w:color w:val="000"/>
          <w:sz w:val="18"/>
          <w:szCs w:val="18"/>
          <w:i w:val="1"/>
          <w:iCs w:val="1"/>
        </w:rPr>
        <w:t xml:space="preserve">“European Digital Infrastructure Consortium on Local Digital Twins towards the Citiverse”</w:t>
      </w:r>
      <w:r>
        <w:rPr>
          <w:rFonts w:ascii="Arial" w:hAnsi="Arial" w:eastAsia="Arial" w:cs="Arial"/>
          <w:color w:val="000"/>
          <w:sz w:val="18"/>
          <w:szCs w:val="18"/>
        </w:rPr>
        <w:t xml:space="preserv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is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and services that can be used by cities in EU member states to develop, enhance and connect their data platforms and digital twins.</w:t>
      </w:r>
    </w:p>
    <w:p>
      <w:pPr>
        <w:spacing w:line="288" w:lineRule="auto"/>
      </w:pPr>
      <w:r>
        <w:rPr>
          <w:rFonts w:ascii="Arial" w:hAnsi="Arial" w:eastAsia="Arial" w:cs="Arial"/>
          <w:color w:val="000"/>
          <w:sz w:val="18"/>
          <w:szCs w:val="18"/>
        </w:rPr>
        <w:t xml:space="preserve">On the national level, there are existing programmes and funding opportunities, research projects, digital infrastructure such as EuroHPC supercomputers, data centres, AI factories. To make the most of this existing and upcoming infrastructure and to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organised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This session, taking place on </w:t>
      </w:r>
      <w:r>
        <w:rPr>
          <w:rFonts w:ascii="Arial" w:hAnsi="Arial" w:eastAsia="Arial" w:cs="Arial"/>
          <w:color w:val="000"/>
          <w:sz w:val="18"/>
          <w:szCs w:val="18"/>
          <w:b w:val="1"/>
          <w:bCs w:val="1"/>
        </w:rPr>
        <w:t xml:space="preserve">Tuesday 22 September 2026 at 13:00 CEST/14:00 EEST</w:t>
      </w:r>
      <w:r>
        <w:rPr>
          <w:rFonts w:ascii="Arial" w:hAnsi="Arial" w:eastAsia="Arial" w:cs="Arial"/>
          <w:color w:val="000"/>
          <w:sz w:val="18"/>
          <w:szCs w:val="18"/>
        </w:rPr>
        <w:t xml:space="preserve">, is targeted towards </w:t>
      </w:r>
      <w:r>
        <w:rPr>
          <w:rFonts w:ascii="Arial" w:hAnsi="Arial" w:eastAsia="Arial" w:cs="Arial"/>
          <w:color w:val="000"/>
          <w:sz w:val="18"/>
          <w:szCs w:val="18"/>
          <w:b w:val="1"/>
          <w:bCs w:val="1"/>
        </w:rPr>
        <w:t xml:space="preserve">Finnish public administrations: </w:t>
      </w:r>
      <w:r>
        <w:rPr>
          <w:rFonts w:ascii="Arial" w:hAnsi="Arial" w:eastAsia="Arial" w:cs="Arial"/>
          <w:color w:val="000"/>
          <w:sz w:val="18"/>
          <w:szCs w:val="18"/>
        </w:rPr>
        <w:t xml:space="preserve">You can </w:t>
      </w:r>
      <w:hyperlink r:id="rId7" w:history="1">
        <w:r>
          <w:rPr/>
          <w:t xml:space="preserve">register here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for the event</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It will:</w:t>
      </w:r>
    </w:p>
    <w:p>
      <w:pPr>
        <w:numPr>
          <w:ilvl w:val="0"/>
          <w:numId w:val="1"/>
        </w:numPr>
      </w:pPr>
      <w:r>
        <w:rPr/>
        <w:t xml:space="preserve">Explain what the EDIC is and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Drive onboarding of cities into the EDIC framework.</w:t>
      </w:r>
    </w:p>
    <w:p>
      <w:pPr>
        <w:pStyle w:val="Heading3"/>
      </w:pPr>
      <w:r>
        <w:rPr/>
        <w:t xml:space="preserve">Agenda </w:t>
      </w:r>
    </w:p>
    <w:p>
      <w:pPr>
        <w:numPr>
          <w:ilvl w:val="0"/>
          <w:numId w:val="2"/>
        </w:numPr>
      </w:pPr>
      <w:r>
        <w:rPr/>
        <w:t xml:space="preserve">Welcome (5 min) | </w:t>
      </w:r>
      <w:r>
        <w:rPr>
          <w:b w:val="1"/>
          <w:bCs w:val="1"/>
        </w:rPr>
        <w:t xml:space="preserve">Jaan Saar</w:t>
      </w:r>
      <w:r>
        <w:rPr/>
        <w:t xml:space="preserve">, Operational lead, LDT Citiverse EDIC</w:t>
      </w:r>
    </w:p>
    <w:p>
      <w:pPr>
        <w:numPr>
          <w:ilvl w:val="0"/>
          <w:numId w:val="2"/>
        </w:numPr>
      </w:pPr>
      <w:r>
        <w:rPr/>
        <w:t xml:space="preserve">Introduction to the EDIC (15 min) | </w:t>
      </w:r>
      <w:r>
        <w:rPr>
          <w:b w:val="1"/>
          <w:bCs w:val="1"/>
        </w:rPr>
        <w:t xml:space="preserve">Jan Wester</w:t>
      </w:r>
      <w:r>
        <w:rPr/>
        <w:t xml:space="preserve">, Director, LDT Citiverse EDIC</w:t>
      </w:r>
    </w:p>
    <w:p>
      <w:pPr>
        <w:numPr>
          <w:ilvl w:val="0"/>
          <w:numId w:val="2"/>
        </w:numPr>
      </w:pPr>
      <w:r>
        <w:rPr/>
        <w:t xml:space="preserve">The national activation approach in practice (15 min) | </w:t>
      </w:r>
      <w:r>
        <w:rPr>
          <w:b w:val="1"/>
          <w:bCs w:val="1"/>
        </w:rPr>
        <w:t xml:space="preserve">Anni Joela</w:t>
      </w:r>
      <w:r>
        <w:rPr/>
        <w:t xml:space="preserve">, Project manager, City of Tampere</w:t>
      </w:r>
    </w:p>
    <w:p>
      <w:pPr>
        <w:numPr>
          <w:ilvl w:val="0"/>
          <w:numId w:val="2"/>
        </w:numPr>
      </w:pPr>
      <w:r>
        <w:rPr/>
        <w:t xml:space="preserve">The role of the Smart Communities Network (10 min) | </w:t>
      </w:r>
      <w:r>
        <w:rPr>
          <w:b w:val="1"/>
          <w:bCs w:val="1"/>
        </w:rPr>
        <w:t xml:space="preserve">Markku Niemi</w:t>
      </w:r>
      <w:r>
        <w:rPr/>
        <w:t xml:space="preserve">, Director for Smart City development, Business Tampere</w:t>
      </w:r>
    </w:p>
    <w:p>
      <w:pPr>
        <w:numPr>
          <w:ilvl w:val="0"/>
          <w:numId w:val="2"/>
        </w:numPr>
      </w:pPr>
      <w:r>
        <w:rPr/>
        <w:t xml:space="preserve">LDT ecosystem: governance, actors, roles (15 min) | Speaker TBC</w:t>
      </w:r>
    </w:p>
    <w:p>
      <w:pPr>
        <w:numPr>
          <w:ilvl w:val="0"/>
          <w:numId w:val="2"/>
        </w:numPr>
      </w:pPr>
      <w:r>
        <w:rPr/>
        <w:t xml:space="preserve">National projects and infrastructure in Finland (50 min)</w:t>
      </w:r>
    </w:p>
    <w:p>
      <w:pPr>
        <w:numPr>
          <w:ilvl w:val="1"/>
          <w:numId w:val="2"/>
        </w:numPr>
      </w:pPr>
      <w:r>
        <w:rPr>
          <w:b w:val="1"/>
          <w:bCs w:val="1"/>
        </w:rPr>
        <w:t xml:space="preserve">Tiina Talvitie</w:t>
      </w:r>
      <w:r>
        <w:rPr/>
        <w:t xml:space="preserve">, Head of Unit Geospatial Development and Digital Twins, City of Helsinki</w:t>
      </w:r>
    </w:p>
    <w:p>
      <w:pPr>
        <w:numPr>
          <w:ilvl w:val="1"/>
          <w:numId w:val="2"/>
        </w:numPr>
      </w:pPr>
      <w:r>
        <w:rPr>
          <w:b w:val="1"/>
          <w:bCs w:val="1"/>
        </w:rPr>
        <w:t xml:space="preserve">Heli Ponto</w:t>
      </w:r>
      <w:r>
        <w:rPr/>
        <w:t xml:space="preserve">, Senior Project Manager, Forum Virium Helsinki</w:t>
      </w:r>
    </w:p>
    <w:p>
      <w:pPr>
        <w:numPr>
          <w:ilvl w:val="1"/>
          <w:numId w:val="2"/>
        </w:numPr>
      </w:pPr>
      <w:r>
        <w:rPr>
          <w:b w:val="1"/>
          <w:bCs w:val="1"/>
        </w:rPr>
        <w:t xml:space="preserve">Matias Ansaharju</w:t>
      </w:r>
      <w:r>
        <w:rPr/>
        <w:t xml:space="preserve">, Manager of Development and Geospatial Services, City of Tampere</w:t>
      </w:r>
    </w:p>
    <w:p>
      <w:pPr>
        <w:numPr>
          <w:ilvl w:val="0"/>
          <w:numId w:val="2"/>
        </w:numPr>
      </w:pPr>
      <w:r>
        <w:rPr/>
        <w:t xml:space="preserve">Discussion and conclusion (10 min)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DE79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C6A4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1821c895-9fd3-41d1-897a-d71eba9e732b@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2026-09-03T07:28:12+02:00</dcterms:created>
  <dcterms:modified xsi:type="dcterms:W3CDTF">2026-09-03T07:28:12+02:00</dcterms:modified>
</cp:coreProperties>
</file>

<file path=docProps/custom.xml><?xml version="1.0" encoding="utf-8"?>
<Properties xmlns="http://schemas.openxmlformats.org/officeDocument/2006/custom-properties" xmlns:vt="http://schemas.openxmlformats.org/officeDocument/2006/docPropsVTypes"/>
</file>