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Basic Cybersecurity Best Practices for Public Administration Employees</w:t>
      </w:r>
    </w:p>
    <w:p>
      <w:pPr/>
    </w:p>
    <w:p>
      <w:pPr>
        <w:spacing w:line="288" w:lineRule="auto"/>
      </w:pPr>
      <w:r>
        <w:rPr>
          <w:rFonts w:ascii="Arial" w:hAnsi="Arial" w:eastAsia="Arial" w:cs="Arial"/>
          <w:color w:val="000"/>
          <w:sz w:val="18"/>
          <w:szCs w:val="18"/>
        </w:rPr>
        <w:t xml:space="preserve">This resource provides a structured set of cybersecurity best practices intended for all employees of public administration bodies within the European Union. It outlines twelve fundamental rules addressing password management, multi-factor authentication, secure email and internet usage, safe teleworking arrangements, and incident reporting procedures. The guidance is designed to strengthen the human element of cybersecurity in local authorities and to support compliance with EU-level expectations on information security.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2026-09-01T20:41:32+02:00</dcterms:created>
  <dcterms:modified xsi:type="dcterms:W3CDTF">2026-09-01T20:41:32+02:00</dcterms:modified>
</cp:coreProperties>
</file>

<file path=docProps/custom.xml><?xml version="1.0" encoding="utf-8"?>
<Properties xmlns="http://schemas.openxmlformats.org/officeDocument/2006/custom-properties" xmlns:vt="http://schemas.openxmlformats.org/officeDocument/2006/docPropsVTypes"/>
</file>