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ENISA Sectorial Threat Landscape - Public Administration</w:t>
      </w:r>
    </w:p>
    <w:p>
      <w:pPr/>
    </w:p>
    <w:p>
      <w:pPr>
        <w:spacing w:line="288" w:lineRule="auto"/>
      </w:pPr>
      <w:r>
        <w:rPr>
          <w:rFonts w:ascii="Arial" w:hAnsi="Arial" w:eastAsia="Arial" w:cs="Arial"/>
          <w:color w:val="000"/>
          <w:sz w:val="18"/>
          <w:szCs w:val="18"/>
        </w:rPr>
        <w:t xml:space="preserve">This ENISA report provides an up‑to‑date overview of the cyber threats faced by the public administration sector in the European Union in 2024. It identifies the main threat types (including DDoS attacks, data‑related incidents, ransomware, and state‑nexus espionage) and outlines recommended technical and organisational controls, such as multi‑factor authentication, endpoint protection, network segmentation, and robust backup strategies. The publication supports local authorities and other public bodies in understanding current risks and strengthening their cybersecurity posture in line with EU expectations.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2026-11-03T00:50:48+01:00</dcterms:created>
  <dcterms:modified xsi:type="dcterms:W3CDTF">2026-11-03T00:50:48+01:00</dcterms:modified>
</cp:coreProperties>
</file>

<file path=docProps/custom.xml><?xml version="1.0" encoding="utf-8"?>
<Properties xmlns="http://schemas.openxmlformats.org/officeDocument/2006/custom-properties" xmlns:vt="http://schemas.openxmlformats.org/officeDocument/2006/docPropsVTypes"/>
</file>