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30 September 2026</w:t>
      </w:r>
    </w:p>
    <w:p>
      <w:pPr/>
    </w:p>
    <w:p>
      <w:pPr>
        <w:spacing w:line="288" w:lineRule="auto"/>
      </w:pPr>
      <w:r>
        <w:rPr>
          <w:rFonts w:ascii="Arial" w:hAnsi="Arial" w:eastAsia="Arial" w:cs="Arial"/>
          <w:color w:val="000"/>
          <w:sz w:val="18"/>
          <w:szCs w:val="18"/>
        </w:rPr>
        <w:t xml:space="preserve">The next Living-in.EU Stakeholder Forum will provide an update on the latest European initiatives supporting the digital transformation of cities and communities, while also looking ahead to the future direction and next steps of the Living-in.EU community.</w:t>
      </w:r>
    </w:p>
    <w:p>
      <w:pPr>
        <w:spacing w:line="288" w:lineRule="auto"/>
      </w:pPr>
      <w:r>
        <w:rPr>
          <w:rFonts w:ascii="Arial" w:hAnsi="Arial" w:eastAsia="Arial" w:cs="Arial"/>
          <w:color w:val="000"/>
          <w:sz w:val="18"/>
          <w:szCs w:val="18"/>
        </w:rPr>
        <w:t xml:space="preserve">During the session, we will cover:</w:t>
      </w:r>
    </w:p>
    <w:p>
      <w:pPr>
        <w:numPr>
          <w:ilvl w:val="0"/>
          <w:numId w:val="1"/>
        </w:numPr>
      </w:pPr>
      <w:r>
        <w:rPr/>
        <w:t xml:space="preserve">The future outlook and next steps for the Living-in.EU community.</w:t>
      </w:r>
    </w:p>
    <w:p>
      <w:pPr>
        <w:numPr>
          <w:ilvl w:val="0"/>
          <w:numId w:val="1"/>
        </w:numPr>
      </w:pPr>
      <w:r>
        <w:rPr/>
        <w:t xml:space="preserve">Updates from the five Living-in.EU Working Groups: Legal, Financial, Technical, Monitoring &amp; Measuring, and Education &amp; Capacity Building.</w:t>
      </w:r>
    </w:p>
    <w:p>
      <w:pPr>
        <w:numPr>
          <w:ilvl w:val="0"/>
          <w:numId w:val="1"/>
        </w:numPr>
      </w:pPr>
      <w:r>
        <w:rPr/>
        <w:t xml:space="preserve">Key European digital initiatives and resources, including the Local Digital Twin EDIC, the European Data Space for Smart and Sustainable Communities, the European Local Digital Twins for Smart and Sustainable Communities initiative, the EU Local Digital Twin Toolbox, CitiVerse projects, interoperability measures, and European AI Factories.</w:t>
      </w:r>
    </w:p>
    <w:p>
      <w:pPr>
        <w:numPr>
          <w:ilvl w:val="0"/>
          <w:numId w:val="1"/>
        </w:numPr>
      </w:pPr>
      <w:r>
        <w:rPr/>
        <w:t xml:space="preserve">A practical walkthrough of the Living-in.EU website, showing participants how to navigate the platform and take advantage of its tools, knowledge resources, training materials, support services and opportunities for community engagement.</w:t>
      </w:r>
    </w:p>
    <w:p>
      <w:pPr>
        <w:spacing w:line="288" w:lineRule="auto"/>
      </w:pPr>
      <w:r>
        <w:rPr>
          <w:rFonts w:ascii="Arial" w:hAnsi="Arial" w:eastAsia="Arial" w:cs="Arial"/>
          <w:color w:val="000"/>
          <w:sz w:val="18"/>
          <w:szCs w:val="18"/>
          <w:i w:val="1"/>
          <w:iCs w:val="1"/>
        </w:rPr>
        <w:t xml:space="preserve">The session will be recorded. The recording, presentations and all supporting materials shared during the session will be made available to participants afterwards.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9F5A4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2026-07-17T15:10:28+02:00</dcterms:created>
  <dcterms:modified xsi:type="dcterms:W3CDTF">2026-07-17T15:10:28+02:00</dcterms:modified>
</cp:coreProperties>
</file>

<file path=docProps/custom.xml><?xml version="1.0" encoding="utf-8"?>
<Properties xmlns="http://schemas.openxmlformats.org/officeDocument/2006/custom-properties" xmlns:vt="http://schemas.openxmlformats.org/officeDocument/2006/docPropsVTypes"/>
</file>