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Trends in 2026 for smart cities – from technology led to insights driven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article by Hans Teuben et al for Capgemini discusses the five structural shifts observed on the global smart city landscape and the trends in smart cities for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a glance</w:t>
      </w:r>
    </w:p>
    <w:p>
      <w:pPr>
        <w:numPr>
          <w:ilvl w:val="0"/>
          <w:numId w:val="1"/>
        </w:numPr>
      </w:pPr>
      <w:r>
        <w:rPr/>
        <w:t xml:space="preserve">Orchestrated, federated and integrated data-driven ecosystems improve local economies and citizens’ lives</w:t>
      </w:r>
    </w:p>
    <w:p>
      <w:pPr>
        <w:numPr>
          <w:ilvl w:val="0"/>
          <w:numId w:val="1"/>
        </w:numPr>
      </w:pPr>
      <w:r>
        <w:rPr/>
        <w:t xml:space="preserve">Smart city performance depends on every part being connected, synchronized, and responsive</w:t>
      </w:r>
    </w:p>
    <w:p>
      <w:pPr>
        <w:numPr>
          <w:ilvl w:val="0"/>
          <w:numId w:val="1"/>
        </w:numPr>
      </w:pPr>
      <w:r>
        <w:rPr/>
        <w:t xml:space="preserve">Data spaces provide the trusted, secure, and sovereign framework for data exchange in smart city ecosystems</w:t>
      </w:r>
    </w:p>
    <w:p>
      <w:pPr>
        <w:numPr>
          <w:ilvl w:val="0"/>
          <w:numId w:val="1"/>
        </w:numPr>
      </w:pPr>
      <w:r>
        <w:rPr/>
        <w:t xml:space="preserve">Agentic AI and digital twins are revolutionizing urban planning</w:t>
      </w:r>
    </w:p>
    <w:p>
      <w:pPr>
        <w:numPr>
          <w:ilvl w:val="0"/>
          <w:numId w:val="1"/>
        </w:numPr>
      </w:pPr>
      <w:r>
        <w:rPr/>
        <w:t xml:space="preserve">Metaverse‑style environments (the Citiverse) are emerging in smart cities</w:t>
      </w:r>
    </w:p>
    <w:p>
      <w:pPr>
        <w:numPr>
          <w:ilvl w:val="0"/>
          <w:numId w:val="1"/>
        </w:numPr>
      </w:pPr>
      <w:r>
        <w:rPr/>
        <w:t xml:space="preserve">Smart ports are among key regional drivers to smart cities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0B3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2026-07-14T16:47:48+02:00</dcterms:created>
  <dcterms:modified xsi:type="dcterms:W3CDTF">2026-07-14T16:47:48+02:00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