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Report: I want to go there now!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European Citiverses Uniting for Inclusiveness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has published insights report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“I want to go there now!”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explores how uncertainty around accessibility, crowds, sound environments and unfamiliar places can become real barriers to participation in city life and events — especially for families of children with disabilities and people with diverse accessibility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Developed through an inclusive user-centred design process, the report identifies key barriers limiting participation and highlights how digital twins and Citiverse technologies can support more inclusive urban experiences through digital previews, AI-supported navigation, adaptive interfaces and real-time information.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report also underlines the importance of shared data standards and interoperable digital infrastructure to ensure these solutions can be scaled and reused across European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💡 Curious to learn more? Discover more information on the Knowledge Base: </w:t>
      </w:r>
      <w:hyperlink r:id="rId8" w:history="1">
        <w:r>
          <w:rPr/>
          <w:t xml:space="preserve">https://living-in.eu/knowledge-base/report-i-want-go-there-now-new-report-universal-design-insights-citiverse-and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u-project.eu/" TargetMode="External"/><Relationship Id="rId8" Type="http://schemas.openxmlformats.org/officeDocument/2006/relationships/hyperlink" Target="https://living-in.eu/knowledge-base/report-i-want-go-there-now-new-report-universal-design-insights-citiverse-a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2026-10-23T00:56:52+02:00</dcterms:created>
  <dcterms:modified xsi:type="dcterms:W3CDTF">2026-10-23T00:56:52+02:00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