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Citiverses Uniting for Inclusiveness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published insights report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 want to go there now!”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explores how uncertainty around accessibility, crowds, sound environments and unfamiliar places can become real barriers to participation in city life and events — especially for families of children with disabilities and people with diverse accessibility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through an inclusive user-centred design process, the report identifies key barriers limiting participation and highlights how digital twins and Citiverse technologies can support more inclusive urban experiences through digital previews, AI-supported navigation, adaptive interfaces and real-time information.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also underlines the importance of shared data standards and interoperable digital infrastructure to ensure these solutions can be scaled and reused across European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💡 Curious to learn more? Discover more information on the Knowledge Base: </w:t>
      </w:r>
      <w:hyperlink r:id="rId8" w:history="1">
        <w:r>
          <w:rPr/>
          <w:t xml:space="preserve">https://living-in.eu/knowledge-base/report-i-want-go-there-now-new-report-universal-design-insights-citiverse-and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u-project.eu/" TargetMode="External"/><Relationship Id="rId8" Type="http://schemas.openxmlformats.org/officeDocument/2006/relationships/hyperlink" Target="https://living-in.eu/knowledge-base/report-i-want-go-there-now-new-report-universal-design-insights-citiverse-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2026-07-14T03:07:43+02:00</dcterms:created>
  <dcterms:modified xsi:type="dcterms:W3CDTF">2026-07-14T03:07:43+02:00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