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launches the Best Cases Award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Tech Watch (PSTW) has launched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the Best Cases Award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recognising innovative applications of emerging technologies across European public administrations. Building on the success of previous editions, the Award aims to further strengthen knowledge-sharing and visibility of impactful digital solutions developed and implemented across Europe.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Award highlights real-world applications of Artificial Intelligence (including Generative AI), Blockchain, Digital Twins, and Quantum Computing to enhance public services, improve administrative processes and operations, and support better policy-making.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Submissions are invited under three categories: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Service Delivery Impact</w:t>
      </w:r>
      <w:r>
        <w:rPr/>
        <w:t xml:space="preserve"> – enhancing services for citizens and businesses 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Administrative Innovation</w:t>
      </w:r>
      <w:r>
        <w:rPr/>
        <w:t xml:space="preserve"> – enhancing internal government processes 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Policy Making</w:t>
      </w:r>
      <w:r>
        <w:rPr/>
        <w:t xml:space="preserve"> – supporting policy design and evaluation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Depending on the number and quality of applications, additional recognitions or special mentions may be awarded to highlight particularly innovative, interoperable, or impactful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Participating public administrations will: </w:t>
      </w:r>
    </w:p>
    <w:p>
      <w:pPr>
        <w:numPr>
          <w:ilvl w:val="0"/>
          <w:numId w:val="2"/>
        </w:numPr>
      </w:pPr>
      <w:r>
        <w:rPr/>
        <w:t xml:space="preserve">Gain visibility at European level, with their cases published in the </w:t>
      </w:r>
      <w:hyperlink r:id="rId7" w:history="1">
        <w:r>
          <w:rPr/>
          <w:t xml:space="preserve">PSTW Cases Viewer</w:t>
        </w:r>
      </w:hyperlink>
      <w:r>
        <w:rPr/>
        <w:t xml:space="preserve"> </w:t>
      </w:r>
    </w:p>
    <w:p>
      <w:pPr>
        <w:numPr>
          <w:ilvl w:val="0"/>
          <w:numId w:val="2"/>
        </w:numPr>
      </w:pPr>
      <w:r>
        <w:rPr/>
        <w:t xml:space="preserve">Share and promote their solutions fostering knowledge-sharing across Europe and supporting reuse across administrations </w:t>
      </w:r>
    </w:p>
    <w:p>
      <w:pPr>
        <w:numPr>
          <w:ilvl w:val="0"/>
          <w:numId w:val="2"/>
        </w:numPr>
      </w:pPr>
      <w:r>
        <w:rPr/>
        <w:t xml:space="preserve">Compete for recognition at the Award Ceremony in Fall 2026 (date and venue to be announced soon!), with awarded public administrations having the chance to record a professional video to showcase their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Submit your cases by June 30, 2026 and find out more </w:t>
      </w:r>
      <w:hyperlink r:id="rId8" w:history="1">
        <w:r>
          <w:rPr/>
          <w:t xml:space="preserve">at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0C194BE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6388686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cases-viewer-statistics" TargetMode="External"/><Relationship Id="rId8" Type="http://schemas.openxmlformats.org/officeDocument/2006/relationships/hyperlink" Target="https://interoperable-europe.ec.europa.eu/collection/public-sector-tech-watch/best-cases-award-2026-edi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2026-08-22T09:17:45+02:00</dcterms:created>
  <dcterms:modified xsi:type="dcterms:W3CDTF">2026-08-22T09:17:45+02:00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