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Smart Community Skills Resources Catalogue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</w:t>
      </w:r>
      <w:hyperlink r:id="rId7" w:history="1">
        <w:r>
          <w:rPr/>
          <w:t xml:space="preserve">SMARCO project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has introduced 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Smart Community Skills Resources Catalogue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as a platform acting as a bridge between current training offers and the evolving needs of the smart city sector.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Why this matters: </w:t>
      </w:r>
      <w:r>
        <w:rPr>
          <w:rFonts w:ascii="Arial" w:hAnsi="Arial" w:eastAsia="Arial" w:cs="Arial"/>
          <w:color w:val="000"/>
          <w:sz w:val="18"/>
          <w:szCs w:val="18"/>
        </w:rPr>
        <w:t xml:space="preserve">The significance of this catalogue lies in its ability to simplify the complex landscape of professional development. By centralising high-quality training opportunities from across Europe, the catalogue empowers both individuals and organisations to make evidence-based decisions about their future.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By transforming vast amounts of data into an accessible, user-friendly tool, the Skills Resources Catalogue serves as a vital compass for anyone looking to navigate and shape the future of smart communities.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smarco.e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2026-10-11T15:43:49+02:00</dcterms:created>
  <dcterms:modified xsi:type="dcterms:W3CDTF">2026-10-11T15:43:49+02:00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