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Funding Opportunities for Cities – Lessons &amp; What to Do (and Avoid) When Applying and Implementing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the second part of the series on Funding Opportunities organised by the Living-in.EU movement's Education and Capacity-building working group.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is to bring local and regional representatives together to share their experiences and learnings when applying and implementing for EU-funded projects, while also presenting the role and added value of the LiEU Project in guiding cities through these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attend?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aims to bring together city representatives to exchange knowledge, experiences, and lessons learned across all stages of EU-funded projects — from identifying opportunities to implementation.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will:</w:t>
      </w:r>
    </w:p>
    <w:p>
      <w:pPr>
        <w:numPr>
          <w:ilvl w:val="0"/>
          <w:numId w:val="1"/>
        </w:numPr>
      </w:pPr>
      <w:r>
        <w:rPr/>
        <w:t xml:space="preserve">gain practical insights into the full project lifecycle (scoping, consortium building, proposal writing, submission, and implementation)</w:t>
      </w:r>
    </w:p>
    <w:p>
      <w:pPr>
        <w:numPr>
          <w:ilvl w:val="0"/>
          <w:numId w:val="1"/>
        </w:numPr>
      </w:pPr>
      <w:r>
        <w:rPr/>
        <w:t xml:space="preserve">understand common challenges (e.g. eligibility, budgeting, partnerships) and how to overcome them</w:t>
      </w:r>
    </w:p>
    <w:p>
      <w:pPr>
        <w:numPr>
          <w:ilvl w:val="0"/>
          <w:numId w:val="1"/>
        </w:numPr>
      </w:pPr>
      <w:r>
        <w:rPr/>
        <w:t xml:space="preserve">learn concrete “do’s and don’ts” based on real experiences</w:t>
      </w:r>
    </w:p>
    <w:p>
      <w:pPr>
        <w:numPr>
          <w:ilvl w:val="0"/>
          <w:numId w:val="1"/>
        </w:numPr>
      </w:pPr>
      <w:r>
        <w:rPr/>
        <w:t xml:space="preserve">better understand what evaluators look for and how to align proposals with EU priorities</w:t>
      </w:r>
    </w:p>
    <w:p>
      <w:pPr>
        <w:numPr>
          <w:ilvl w:val="0"/>
          <w:numId w:val="1"/>
        </w:numPr>
      </w:pPr>
      <w:r>
        <w:rPr/>
        <w:t xml:space="preserve">build confidence in identifying relevant funding opportunities and navigating application processes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NEW DATE: 5 May, 10:00-11:00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MS Teams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participation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10:00-10:05 | Welcome and the Living-in.EU project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10:05-10:45 | Case studies: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Ghent, Belgium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Heidi De Vleeschouwer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Métropole Européenne de Lille, France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Marie Guitton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Association of Netherlands Municipalities (VNG)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Manuel Galdames Castillo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City of Riga, Latvia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Inga Barisa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10:45-10:55 |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10:55-11:00 | Closing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F8D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2026-06-26T13:20:03+02:00</dcterms:created>
  <dcterms:modified xsi:type="dcterms:W3CDTF">2026-06-26T13:20:03+02:00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