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 One Left Behind in the Citiverse: A Blueprint for Accessible AI-Powered Virtual Worlds</w:t>
      </w:r>
    </w:p>
    <w:p>
      <w:pPr/>
    </w:p>
    <w:p>
      <w:pPr>
        <w:spacing w:line="288" w:lineRule="auto"/>
      </w:pPr>
      <w:r>
        <w:rPr>
          <w:rFonts w:ascii="Arial" w:hAnsi="Arial" w:eastAsia="Arial" w:cs="Arial"/>
          <w:color w:val="000"/>
          <w:sz w:val="18"/>
          <w:szCs w:val="18"/>
        </w:rPr>
        <w:t xml:space="preserve">This report of ITU (International Telecommunication Union) highlights the urgent need to embed accessibility and inclusion at the core of digital transformation. It presents practical models, use cases, and policy guidance to ensure that AI-powered virtual worlds are designed for everyone — fostering equitable participation, seamless experiences, and universal access in the cities of tomorrow.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2026-08-22T01:01:53+02:00</dcterms:created>
  <dcterms:modified xsi:type="dcterms:W3CDTF">2026-08-22T01:01:53+02:00</dcterms:modified>
</cp:coreProperties>
</file>

<file path=docProps/custom.xml><?xml version="1.0" encoding="utf-8"?>
<Properties xmlns="http://schemas.openxmlformats.org/officeDocument/2006/custom-properties" xmlns:vt="http://schemas.openxmlformats.org/officeDocument/2006/docPropsVTypes"/>
</file>