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Reimagining the Future of Cities: AI, Virtual Worlds and the Citiverse</w:t>
      </w:r>
    </w:p>
    <w:p>
      <w:pPr/>
    </w:p>
    <w:p>
      <w:pPr>
        <w:spacing w:line="288" w:lineRule="auto"/>
      </w:pPr>
      <w:r>
        <w:rPr>
          <w:rFonts w:ascii="Arial" w:hAnsi="Arial" w:eastAsia="Arial" w:cs="Arial"/>
          <w:color w:val="000"/>
          <w:sz w:val="18"/>
          <w:szCs w:val="18"/>
        </w:rPr>
        <w:t xml:space="preserve">This webinar, held as part of the </w:t>
      </w:r>
      <w:hyperlink r:id="rId7" w:history="1">
        <w:r>
          <w:rPr/>
          <w:t xml:space="preserve">ITU Digital Transformation Dialogues</w:t>
        </w:r>
      </w:hyperlink>
      <w:r>
        <w:rPr>
          <w:rFonts w:ascii="Arial" w:hAnsi="Arial" w:eastAsia="Arial" w:cs="Arial"/>
          <w:color w:val="000"/>
          <w:sz w:val="18"/>
          <w:szCs w:val="18"/>
        </w:rPr>
        <w:t xml:space="preserve"> and co-organised by the International Telecommunication Union (ITU), and the </w:t>
      </w:r>
      <w:hyperlink r:id="rId8" w:history="1">
        <w:r>
          <w:rPr/>
          <w:t xml:space="preserve">Education and Capacity Building Working Group of the Living-in.EU initiative</w:t>
        </w:r>
      </w:hyperlink>
      <w:r>
        <w:rPr>
          <w:rFonts w:ascii="Arial" w:hAnsi="Arial" w:eastAsia="Arial" w:cs="Arial"/>
          <w:color w:val="000"/>
          <w:sz w:val="18"/>
          <w:szCs w:val="18"/>
        </w:rPr>
        <w:t xml:space="preserve">, introduced the citiverse concept to city administrations, public authorities, and digital innovation stakeholders, including the Living-in.EU community. It provided an overview of the citiverse vision, its defining characteristics, and its potential value for cities and communities. It highlighted how the citiverse went beyond existing digital tools by enabling more immersive, participatory, and people-centred approaches to cities’ digital transformation.</w:t>
      </w:r>
    </w:p>
    <w:p>
      <w:pPr>
        <w:spacing w:line="288" w:lineRule="auto"/>
      </w:pPr>
      <w:r>
        <w:rPr>
          <w:rFonts w:ascii="Arial" w:hAnsi="Arial" w:eastAsia="Arial" w:cs="Arial"/>
          <w:color w:val="000"/>
          <w:sz w:val="18"/>
          <w:szCs w:val="18"/>
        </w:rPr>
        <w:t xml:space="preserve">Participants gained clarity on the citiverse and how it could support cities in exploring new ways to engage inhabitants, support spatial planning, and experiment with digital innovation. </w:t>
      </w:r>
    </w:p>
    <w:p>
      <w:pPr>
        <w:spacing w:line="288" w:lineRule="auto"/>
      </w:pPr>
      <w:r>
        <w:rPr>
          <w:rFonts w:ascii="Arial" w:hAnsi="Arial" w:eastAsia="Arial" w:cs="Arial"/>
          <w:color w:val="000"/>
          <w:sz w:val="18"/>
          <w:szCs w:val="18"/>
        </w:rPr>
        <w:t xml:space="preserve">The webinar was structured in two parts: a presentation segment introducing the citiverse concept and its applications, followed by an interactive segment featuring quizzes, questions, and discussion to help participants better understand how their cities could engage with and benefit from the citiverse in practice.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objectives</w:t>
      </w:r>
      <w:r>
        <w:rPr>
          <w:rFonts w:ascii="Arial" w:hAnsi="Arial" w:eastAsia="Arial" w:cs="Arial"/>
          <w:color w:val="000"/>
          <w:sz w:val="18"/>
          <w:szCs w:val="18"/>
        </w:rPr>
        <w:t xml:space="preserve">:</w:t>
      </w:r>
    </w:p>
    <w:p>
      <w:pPr>
        <w:numPr>
          <w:ilvl w:val="0"/>
          <w:numId w:val="1"/>
        </w:numPr>
      </w:pPr>
      <w:r>
        <w:rPr/>
        <w:t xml:space="preserve">Build a clear understanding of what is the citiverse.</w:t>
      </w:r>
    </w:p>
    <w:p>
      <w:pPr>
        <w:numPr>
          <w:ilvl w:val="0"/>
          <w:numId w:val="1"/>
        </w:numPr>
      </w:pPr>
      <w:r>
        <w:rPr/>
        <w:t xml:space="preserve">Recognise how cities can engage with citiverse, including available pathways for participation and collaboration.</w:t>
      </w:r>
    </w:p>
    <w:p>
      <w:pPr>
        <w:numPr>
          <w:ilvl w:val="0"/>
          <w:numId w:val="1"/>
        </w:numPr>
      </w:pPr>
      <w:r>
        <w:rPr/>
        <w:t xml:space="preserve">Identify the relevance of citiverse for city administrations, particularly in relation to capacity-building, participatory decision-making, and support for digital innovation.</w:t>
      </w:r>
    </w:p>
    <w:p>
      <w:pPr>
        <w:numPr>
          <w:ilvl w:val="0"/>
          <w:numId w:val="1"/>
        </w:numPr>
      </w:pPr>
      <w:r>
        <w:rPr/>
        <w:t xml:space="preserve">Gain insight into available support and opportunities linked to the citiverse, such as shared approaches, global initiatives, interoperability considerations, technical guidance, and links to European-level developments.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29889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cities/digitaltransformationdialogues/" TargetMode="External"/><Relationship Id="rId8" Type="http://schemas.openxmlformats.org/officeDocument/2006/relationships/hyperlink" Target="https://living-in.eu/groups/commit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2026-07-24T22:19:26+02:00</dcterms:created>
  <dcterms:modified xsi:type="dcterms:W3CDTF">2026-07-24T22:19:26+02:00</dcterms:modified>
</cp:coreProperties>
</file>

<file path=docProps/custom.xml><?xml version="1.0" encoding="utf-8"?>
<Properties xmlns="http://schemas.openxmlformats.org/officeDocument/2006/custom-properties" xmlns:vt="http://schemas.openxmlformats.org/officeDocument/2006/docPropsVTypes"/>
</file>