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 Present Their 2026 Annual 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initiative continues to strengthen collaboration across European cities and regions committed to advancing interoperable, human-centric, and sustainable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this effort, the five Living-in.EU Working Groups have defined their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2026 annual plans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outlining priorities, key activities, and opportunities for engagement across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Working Groups (Legal, Financial, Technical, Monitoring &amp; Measuring, and Education &amp; Capacity Building) play a central role in supporting signatories in translating the Living-in.EU principles into practice.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7" w:history="1">
        <w:r>
          <w:rPr/>
          <w:t xml:space="preserve">Legal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8" w:history="1">
        <w:r>
          <w:rPr/>
          <w:t xml:space="preserve">Financial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Technical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9" w:history="1">
        <w:r>
          <w:rPr/>
          <w:t xml:space="preserve">Monitoring &amp; Measuring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10" w:history="1">
        <w:r>
          <w:rPr/>
          <w:t xml:space="preserve">Education &amp; Capacity Building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invite all members of the community to engage with the Working Groups, contribute to their activities, and help shape Europe’s digital future together. Find more about the working groups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egal_annual_plan2026-wg_01.pdf" TargetMode="External"/><Relationship Id="rId8" Type="http://schemas.openxmlformats.org/officeDocument/2006/relationships/hyperlink" Target="https://living-in.eu/sites/default/files/files/financial_annual_plan2026-wg_vq1_fin_0.pdf" TargetMode="External"/><Relationship Id="rId9" Type="http://schemas.openxmlformats.org/officeDocument/2006/relationships/hyperlink" Target="https://living-in.eu/sites/default/files/files/m-m_annual_plan2026.pdf" TargetMode="External"/><Relationship Id="rId10" Type="http://schemas.openxmlformats.org/officeDocument/2006/relationships/hyperlink" Target="https://living-in.eu/sites/default/files/files/e-cb_annual_plan2026_wg_v01.pdf" TargetMode="External"/><Relationship Id="rId11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2026-06-05T16:35:47+02:00</dcterms:created>
  <dcterms:modified xsi:type="dcterms:W3CDTF">2026-06-05T16:35:47+02:00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