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Responsible Sensing Toolkit</w:t>
      </w:r>
    </w:p>
    <w:p>
      <w:pPr/>
    </w:p>
    <w:p>
      <w:pPr>
        <w:spacing w:line="288" w:lineRule="auto"/>
      </w:pPr>
      <w:r>
        <w:rPr>
          <w:rFonts w:ascii="Arial" w:hAnsi="Arial" w:eastAsia="Arial" w:cs="Arial"/>
          <w:color w:val="000"/>
          <w:sz w:val="18"/>
          <w:szCs w:val="18"/>
        </w:rPr>
        <w:t xml:space="preserve">Societal values guide difficult decisions government innovators need to make when thinking about using sensors for monitoring. CITIXL, in collaboration with the City of Amsterdam, has created a six-step process to help you on your way. This Toolkit is designed to help inform you about important considerations based on our experience and help you navigate the dilemmas you may encounter.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2026-10-24T06:25:54+02:00</dcterms:created>
  <dcterms:modified xsi:type="dcterms:W3CDTF">2026-10-24T06:25:54+02:00</dcterms:modified>
</cp:coreProperties>
</file>

<file path=docProps/custom.xml><?xml version="1.0" encoding="utf-8"?>
<Properties xmlns="http://schemas.openxmlformats.org/officeDocument/2006/custom-properties" xmlns:vt="http://schemas.openxmlformats.org/officeDocument/2006/docPropsVTypes"/>
</file>