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 across Europe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CommuniLab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open learning and collaboration space designed to support cities, regions, and communities in co-creating inclusive, human-centred digital solutions. Developed within the framework of the </w:t>
      </w:r>
      <w:hyperlink r:id="rId8" w:history="1">
        <w:r>
          <w:rPr/>
          <w:t xml:space="preserve">CommuniCity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project, CommuniLab serves as a bridge between local challenges and technological innovation, helping stakeholders design, test, and scale digital pilots that address real societal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platform offers a set of resources, tools, and mutual learning materials to guide users through all stages of the innovation process: from identifying local challenges and co-creating ideas to implementing and assessing pilot projects.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Among other materials, CommuniLab hosts:</w:t>
      </w:r>
    </w:p>
    <w:p>
      <w:pPr>
        <w:numPr>
          <w:ilvl w:val="0"/>
          <w:numId w:val="1"/>
        </w:numPr>
      </w:pPr>
      <w:r>
        <w:rPr/>
        <w:t xml:space="preserve">Two manuals on piloting and running open calls</w:t>
      </w:r>
    </w:p>
    <w:p>
      <w:pPr>
        <w:numPr>
          <w:ilvl w:val="0"/>
          <w:numId w:val="1"/>
        </w:numPr>
      </w:pPr>
      <w:r>
        <w:rPr/>
        <w:t xml:space="preserve">Two catalogues introducing the 101 pilots that run throughout the project </w:t>
      </w:r>
    </w:p>
    <w:p>
      <w:pPr>
        <w:numPr>
          <w:ilvl w:val="0"/>
          <w:numId w:val="1"/>
        </w:numPr>
      </w:pPr>
      <w:r>
        <w:rPr/>
        <w:t xml:space="preserve">A toolbox featuring a tested process for co-creation, including practical guides</w:t>
      </w:r>
    </w:p>
    <w:p>
      <w:pPr>
        <w:numPr>
          <w:ilvl w:val="0"/>
          <w:numId w:val="1"/>
        </w:numPr>
      </w:pPr>
      <w:r>
        <w:rPr/>
        <w:t xml:space="preserve">The Ethics and Inclusivity framework developed through the project</w:t>
      </w:r>
    </w:p>
    <w:p>
      <w:pPr>
        <w:numPr>
          <w:ilvl w:val="0"/>
          <w:numId w:val="1"/>
        </w:numPr>
      </w:pPr>
      <w:r>
        <w:rPr/>
        <w:t xml:space="preserve">Many more...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A489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lab.eu" TargetMode="External"/><Relationship Id="rId8" Type="http://schemas.openxmlformats.org/officeDocument/2006/relationships/hyperlink" Target="https://communicity-project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2026-05-10T20:27:30+02:00</dcterms:created>
  <dcterms:modified xsi:type="dcterms:W3CDTF">2026-05-10T20:27:30+02:00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