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 of practice on citizen engagement: Commission recommendation </w:t>
      </w:r>
    </w:p>
    <w:p>
      <w:pPr/>
    </w:p>
    <w:p>
      <w:pPr>
        <w:spacing w:line="288" w:lineRule="auto"/>
      </w:pPr>
      <w:r>
        <w:rPr>
          <w:rFonts w:ascii="Arial" w:hAnsi="Arial" w:eastAsia="Arial" w:cs="Arial"/>
          <w:color w:val="000"/>
          <w:sz w:val="18"/>
          <w:szCs w:val="18"/>
        </w:rPr>
        <w:t xml:space="preserve">Citizen engagement for knowledge valorisation refers to the active involvement of citizens, citizens groups, civil society organisations, and communities in turning knowledge and research results to innovative solutions, to help exploit market opportunities and to inform policy-making. The Code of practice supports all R&amp;I actors in building an enabling environment and will help establish participatory processes and practices for sustainable citizen engagement leading to create innovative, knowledge-based solutions that are better matching citizens’ needs.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2026-05-24T20:38:33+02:00</dcterms:created>
  <dcterms:modified xsi:type="dcterms:W3CDTF">2026-05-24T20:38:33+02:00</dcterms:modified>
</cp:coreProperties>
</file>

<file path=docProps/custom.xml><?xml version="1.0" encoding="utf-8"?>
<Properties xmlns="http://schemas.openxmlformats.org/officeDocument/2006/custom-properties" xmlns:vt="http://schemas.openxmlformats.org/officeDocument/2006/docPropsVTypes"/>
</file>