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 Living-in.EU info session and matchmaking on the call for proposals "GenAI for Public Administrations"</w:t>
      </w:r>
    </w:p>
    <w:p>
      <w:pPr/>
    </w:p>
    <w:p>
      <w:pPr>
        <w:spacing w:line="288" w:lineRule="auto"/>
      </w:pPr>
      <w:r>
        <w:rPr>
          <w:rFonts w:ascii="Arial" w:hAnsi="Arial" w:eastAsia="Arial" w:cs="Arial"/>
          <w:color w:val="000"/>
          <w:sz w:val="18"/>
          <w:szCs w:val="18"/>
        </w:rPr>
        <w:t xml:space="preserve">On </w:t>
      </w:r>
      <w:r>
        <w:rPr>
          <w:rFonts w:ascii="Arial" w:hAnsi="Arial" w:eastAsia="Arial" w:cs="Arial"/>
          <w:color w:val="000"/>
          <w:sz w:val="18"/>
          <w:szCs w:val="18"/>
          <w:b w:val="1"/>
          <w:bCs w:val="1"/>
        </w:rPr>
        <w:t xml:space="preserve">25 June 2025 at 10:30 – 12:30 CEST,  </w:t>
      </w:r>
      <w:r>
        <w:rPr>
          <w:rFonts w:ascii="Arial" w:hAnsi="Arial" w:eastAsia="Arial" w:cs="Arial"/>
          <w:color w:val="000"/>
          <w:sz w:val="18"/>
          <w:szCs w:val="18"/>
        </w:rPr>
        <w:t xml:space="preserve">the Financial Working Group of Living-in.eu will organise a matchmaking session in the context of the</w:t>
      </w:r>
      <w:r>
        <w:rPr>
          <w:rFonts w:ascii="Arial" w:hAnsi="Arial" w:eastAsia="Arial" w:cs="Arial"/>
          <w:color w:val="000"/>
          <w:sz w:val="18"/>
          <w:szCs w:val="18"/>
          <w:b w:val="1"/>
          <w:bCs w:val="1"/>
        </w:rPr>
        <w:t xml:space="preserve"> </w:t>
      </w:r>
      <w:hyperlink r:id="rId7" w:history="1">
        <w:r>
          <w:rPr/>
          <w:t xml:space="preserve">call for GenAI in public administration</w:t>
        </w:r>
      </w:hyperlink>
      <w:r>
        <w:rPr>
          <w:rFonts w:ascii="Arial" w:hAnsi="Arial" w:eastAsia="Arial" w:cs="Arial"/>
          <w:color w:val="000"/>
          <w:sz w:val="18"/>
          <w:szCs w:val="18"/>
        </w:rPr>
        <w:t xml:space="preserve">. This event aims to bring together representatives from local and regional administrations, as well as other stakeholders, such as representatives of the academia, as well as research and technology organisations, interested in or already working on the Call for proposals. </w:t>
      </w:r>
    </w:p>
    <w:p>
      <w:pPr>
        <w:spacing w:line="288" w:lineRule="auto"/>
      </w:pPr>
      <w:r>
        <w:rPr>
          <w:rFonts w:ascii="Arial" w:hAnsi="Arial" w:eastAsia="Arial" w:cs="Arial"/>
          <w:color w:val="000"/>
          <w:sz w:val="18"/>
          <w:szCs w:val="18"/>
        </w:rPr>
        <w:t xml:space="preserve">🎤During the session, we can accommodate pitches of project ideas of expertise sought/offered. If you would like to present, please indicate this in the registration form </w:t>
      </w:r>
      <w:r>
        <w:rPr>
          <w:rFonts w:ascii="Arial" w:hAnsi="Arial" w:eastAsia="Arial" w:cs="Arial"/>
          <w:color w:val="000"/>
          <w:sz w:val="18"/>
          <w:szCs w:val="18"/>
          <w:b w:val="1"/>
          <w:bCs w:val="1"/>
        </w:rPr>
        <w:t xml:space="preserve">by Thursday, June 19, EOB. </w:t>
      </w:r>
      <w:r>
        <w:rPr>
          <w:rFonts w:ascii="Arial" w:hAnsi="Arial" w:eastAsia="Arial" w:cs="Arial"/>
          <w:color w:val="000"/>
          <w:sz w:val="18"/>
          <w:szCs w:val="18"/>
        </w:rPr>
        <w:t xml:space="preserve">In case you have questions or need further information, please reach out to </w:t>
      </w:r>
      <w:hyperlink r:id="rId8" w:history="1">
        <w:r>
          <w:rPr/>
          <w:t xml:space="preserve">ana.georgieva@eurocities.eu</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✍️You can register for the session </w:t>
      </w:r>
      <w:hyperlink r:id="rId9" w:history="1">
        <w:r>
          <w:rPr/>
          <w:t xml:space="preserve">here</w:t>
        </w:r>
      </w:hyperlink>
      <w:r>
        <w:rPr>
          <w:rFonts w:ascii="Arial" w:hAnsi="Arial" w:eastAsia="Arial" w:cs="Arial"/>
          <w:color w:val="000"/>
          <w:sz w:val="18"/>
          <w:szCs w:val="18"/>
        </w:rPr>
        <w:t xml:space="preserve">.</w:t>
      </w:r>
    </w:p>
    <w:p>
      <w:pPr>
        <w:pStyle w:val="Heading4"/>
      </w:pPr>
      <w:r>
        <w:rPr>
          <w:b w:val="1"/>
          <w:bCs w:val="1"/>
        </w:rPr>
        <w:t xml:space="preserve">***</w:t>
      </w:r>
    </w:p>
    <w:p>
      <w:pPr>
        <w:pStyle w:val="Heading3"/>
      </w:pPr>
      <w:r>
        <w:rPr>
          <w:b w:val="1"/>
          <w:bCs w:val="1"/>
        </w:rPr>
        <w:t xml:space="preserve">About the Living-in.EU financial working group: </w:t>
      </w:r>
    </w:p>
    <w:p>
      <w:pPr>
        <w:pStyle w:val="Heading5"/>
      </w:pPr>
      <w:r>
        <w:rPr/>
        <w:t xml:space="preserve">The Living-in.EU Financial working group has aims to: </w:t>
      </w:r>
    </w:p>
    <w:p>
      <w:pPr>
        <w:numPr>
          <w:ilvl w:val="0"/>
          <w:numId w:val="1"/>
        </w:numPr>
      </w:pPr>
      <w:r>
        <w:rPr>
          <w:b w:val="1"/>
          <w:bCs w:val="1"/>
          <w:i w:val="1"/>
          <w:iCs w:val="1"/>
        </w:rPr>
        <w:t xml:space="preserve">Share best practices: </w:t>
      </w:r>
      <w:r>
        <w:rPr/>
        <w:t xml:space="preserve">Exchange successful strategies and practices for financial management and resource allocation.</w:t>
      </w:r>
    </w:p>
    <w:p>
      <w:pPr>
        <w:numPr>
          <w:ilvl w:val="0"/>
          <w:numId w:val="1"/>
        </w:numPr>
      </w:pPr>
      <w:r>
        <w:rPr>
          <w:b w:val="1"/>
          <w:bCs w:val="1"/>
          <w:i w:val="1"/>
          <w:iCs w:val="1"/>
        </w:rPr>
        <w:t xml:space="preserve">Foster collaboration:</w:t>
      </w:r>
      <w:r>
        <w:rPr/>
        <w:t xml:space="preserve"> Encourage partnerships between government entities, private sector, non-profits, and community organizations to address financial needs.</w:t>
      </w:r>
    </w:p>
    <w:p>
      <w:pPr>
        <w:numPr>
          <w:ilvl w:val="0"/>
          <w:numId w:val="1"/>
        </w:numPr>
      </w:pPr>
      <w:r>
        <w:rPr>
          <w:b w:val="1"/>
          <w:bCs w:val="1"/>
          <w:i w:val="1"/>
          <w:iCs w:val="1"/>
        </w:rPr>
        <w:t xml:space="preserve">Develop actionable solutions: </w:t>
      </w:r>
      <w:r>
        <w:rPr/>
        <w:t xml:space="preserve">Create a roadmap for implementing effective financial strategies and securing necessary funding.</w:t>
      </w:r>
    </w:p>
    <w:p>
      <w:pPr>
        <w:numPr>
          <w:ilvl w:val="0"/>
          <w:numId w:val="1"/>
        </w:numPr>
      </w:pPr>
      <w:r>
        <w:rPr>
          <w:b w:val="1"/>
          <w:bCs w:val="1"/>
          <w:i w:val="1"/>
          <w:iCs w:val="1"/>
        </w:rPr>
        <w:t xml:space="preserve">Identify key financial challenges: </w:t>
      </w:r>
      <w:r>
        <w:rPr/>
        <w:t xml:space="preserve">Understand the primary financial issues faced by cities, regions, and communities, including budget constraints, funding gaps, and economic disparities. </w:t>
      </w:r>
    </w:p>
    <w:p>
      <w:pPr>
        <w:spacing w:line="288" w:lineRule="auto"/>
      </w:pPr>
      <w:r>
        <w:rPr>
          <w:rFonts w:ascii="Arial" w:hAnsi="Arial" w:eastAsia="Arial" w:cs="Arial"/>
          <w:color w:val="000"/>
          <w:sz w:val="18"/>
          <w:szCs w:val="18"/>
        </w:rPr>
        <w:t xml:space="preserve">In this context, the Financial working group is also a place for networking and matchmaking for responding to specific calls for proposals targeting local and regional public administrations.  </w:t>
      </w:r>
    </w:p>
    <w:p>
      <w:pPr>
        <w:pStyle w:val="Heading4"/>
      </w:pPr>
      <w:r>
        <w:rPr>
          <w:b w:val="1"/>
          <w:bCs w:val="1"/>
        </w:rPr>
        <w:t xml:space="preserve">***</w:t>
      </w:r>
    </w:p>
    <w:p>
      <w:pPr>
        <w:pStyle w:val="Heading3"/>
      </w:pPr>
      <w:r>
        <w:rPr>
          <w:b w:val="1"/>
          <w:bCs w:val="1"/>
        </w:rPr>
        <w:t xml:space="preserve">About the matchmaking session:</w:t>
      </w:r>
      <w:r>
        <w:rPr/>
        <w:t xml:space="preserve"> </w:t>
      </w:r>
    </w:p>
    <w:p>
      <w:pPr>
        <w:spacing w:line="288" w:lineRule="auto"/>
      </w:pPr>
      <w:r>
        <w:rPr>
          <w:rFonts w:ascii="Arial" w:hAnsi="Arial" w:eastAsia="Arial" w:cs="Arial"/>
          <w:color w:val="000"/>
          <w:sz w:val="18"/>
          <w:szCs w:val="18"/>
        </w:rPr>
        <w:t xml:space="preserve">Under the Digital Europe work programme 2025-2027, the European Commission has launched a </w:t>
      </w:r>
      <w:hyperlink r:id="rId7" w:history="1">
        <w:r>
          <w:rPr/>
          <w:t xml:space="preserve">call for proposals on GenAI for public administrations</w:t>
        </w:r>
      </w:hyperlink>
      <w:r>
        <w:rPr>
          <w:rFonts w:ascii="Arial" w:hAnsi="Arial" w:eastAsia="Arial" w:cs="Arial"/>
          <w:color w:val="000"/>
          <w:sz w:val="18"/>
          <w:szCs w:val="18"/>
        </w:rPr>
        <w:t xml:space="preserve"> with a deadline on </w:t>
      </w:r>
      <w:r>
        <w:rPr>
          <w:rFonts w:ascii="Arial" w:hAnsi="Arial" w:eastAsia="Arial" w:cs="Arial"/>
          <w:color w:val="000"/>
          <w:sz w:val="18"/>
          <w:szCs w:val="18"/>
          <w:b w:val="1"/>
          <w:bCs w:val="1"/>
        </w:rPr>
        <w:t xml:space="preserve">02 September 2025</w:t>
      </w:r>
      <w:r>
        <w:rPr>
          <w:rFonts w:ascii="Arial" w:hAnsi="Arial" w:eastAsia="Arial" w:cs="Arial"/>
          <w:color w:val="000"/>
          <w:sz w:val="18"/>
          <w:szCs w:val="18"/>
        </w:rPr>
        <w:t xml:space="preserve">. The call will support three to four pilot projects, each of them including one or more use cases where European GenAI solutions are developed and applied in the public administrations of the involved countries. The call targets public administrations at national, regional, or local level. </w:t>
      </w:r>
    </w:p>
    <w:p>
      <w:pPr>
        <w:spacing w:line="288" w:lineRule="auto"/>
      </w:pPr>
      <w:r>
        <w:rPr>
          <w:rFonts w:ascii="Arial" w:hAnsi="Arial" w:eastAsia="Arial" w:cs="Arial"/>
          <w:color w:val="000"/>
          <w:sz w:val="18"/>
          <w:szCs w:val="18"/>
        </w:rPr>
        <w:t xml:space="preserve">With the summer holidays in view, and the approaching deadline, many local and regional authorities are already actively working on proposals, finetuning use cases, looking for additional partners or funding to ensure the 50% co-funding. </w:t>
      </w:r>
    </w:p>
    <w:p>
      <w:pPr>
        <w:pStyle w:val="Heading5"/>
      </w:pPr>
      <w:r>
        <w:rPr>
          <w:b w:val="1"/>
          <w:bCs w:val="1"/>
        </w:rPr>
        <w:t xml:space="preserve">With this session, organized together with the AI Office of the European Commission, we want to: </w:t>
      </w:r>
    </w:p>
    <w:p>
      <w:pPr>
        <w:numPr>
          <w:ilvl w:val="0"/>
          <w:numId w:val="2"/>
        </w:numPr>
      </w:pPr>
      <w:r>
        <w:rPr/>
        <w:t xml:space="preserve">Support interested local and regional authorities with more information and practical tips about the call.</w:t>
      </w:r>
    </w:p>
    <w:p>
      <w:pPr>
        <w:numPr>
          <w:ilvl w:val="0"/>
          <w:numId w:val="2"/>
        </w:numPr>
      </w:pPr>
      <w:r>
        <w:rPr/>
        <w:t xml:space="preserve">Provide information on the possibility of using synergy grants combining funding from Digital Europe with decentralized funds such as ERDF (the 50% co-funding being one of the main challenges).</w:t>
      </w:r>
    </w:p>
    <w:p>
      <w:pPr>
        <w:numPr>
          <w:ilvl w:val="0"/>
          <w:numId w:val="2"/>
        </w:numPr>
      </w:pPr>
      <w:r>
        <w:rPr/>
        <w:t xml:space="preserve">Provide a dedicated safe space for questions and clarifications.</w:t>
      </w:r>
    </w:p>
    <w:p>
      <w:pPr>
        <w:numPr>
          <w:ilvl w:val="0"/>
          <w:numId w:val="2"/>
        </w:numPr>
      </w:pPr>
      <w:r>
        <w:rPr/>
        <w:t xml:space="preserve">Facilitate networking and matchmaking between organisations interested in a similar use-case/application area and/or looking for additional expertise (in breakout rooms).</w:t>
      </w:r>
    </w:p>
    <w:p>
      <w:pPr>
        <w:pStyle w:val="Heading5"/>
      </w:pPr>
      <w:r>
        <w:rPr>
          <w:b w:val="1"/>
          <w:bCs w:val="1"/>
        </w:rPr>
        <w:t xml:space="preserve">Examples of use cases/application areas</w:t>
      </w:r>
    </w:p>
    <w:p>
      <w:pPr>
        <w:numPr>
          <w:ilvl w:val="0"/>
          <w:numId w:val="3"/>
        </w:numPr>
      </w:pPr>
      <w:r>
        <w:rPr/>
        <w:t xml:space="preserve">Using GenAI to support and increase efficiency of internal processes</w:t>
      </w:r>
    </w:p>
    <w:p>
      <w:pPr>
        <w:numPr>
          <w:ilvl w:val="0"/>
          <w:numId w:val="3"/>
        </w:numPr>
      </w:pPr>
      <w:r>
        <w:rPr/>
        <w:t xml:space="preserve">Using GenAI to summarise legislation or monitor compliance</w:t>
      </w:r>
    </w:p>
    <w:p>
      <w:pPr>
        <w:numPr>
          <w:ilvl w:val="0"/>
          <w:numId w:val="3"/>
        </w:numPr>
      </w:pPr>
      <w:r>
        <w:rPr/>
        <w:t xml:space="preserve">Using GenAI to support decision-making and data-driven urban planning (by enhancing tools such as local digital twins)</w:t>
      </w:r>
    </w:p>
    <w:p>
      <w:pPr>
        <w:numPr>
          <w:ilvl w:val="0"/>
          <w:numId w:val="3"/>
        </w:numPr>
      </w:pPr>
      <w:r>
        <w:rPr/>
        <w:t xml:space="preserve">Using GenAI to enhance public services and personalized citizen-centric service delivery (e.g. chatbots with enhanced personalized features)</w:t>
      </w:r>
    </w:p>
    <w:p>
      <w:pPr>
        <w:numPr>
          <w:ilvl w:val="0"/>
          <w:numId w:val="3"/>
        </w:numPr>
      </w:pPr>
      <w:r>
        <w:rPr/>
        <w:t xml:space="preserve">Using GenAI to involve residents in urban planning (incl. via data spaces; CitiVerse applications; generation and interaction of avatars in eXtended Reality etc.)</w:t>
      </w:r>
    </w:p>
    <w:p>
      <w:pPr>
        <w:spacing w:line="288" w:lineRule="auto"/>
      </w:pPr>
      <w:r>
        <w:rPr>
          <w:rFonts w:ascii="Arial" w:hAnsi="Arial" w:eastAsia="Arial" w:cs="Arial"/>
          <w:color w:val="000"/>
          <w:sz w:val="18"/>
          <w:szCs w:val="18"/>
        </w:rPr>
        <w:t xml:space="preserve">***</w:t>
      </w:r>
    </w:p>
    <w:p>
      <w:pPr>
        <w:pStyle w:val="Heading2"/>
      </w:pPr>
      <w:r>
        <w:rPr>
          <w:b w:val="1"/>
          <w:bCs w:val="1"/>
        </w:rPr>
        <w:t xml:space="preserve">Draft agenda:</w:t>
      </w:r>
      <w:r>
        <w:rPr/>
        <w:t xml:space="preserve"> </w:t>
      </w:r>
    </w:p>
    <w:p>
      <w:pPr>
        <w:spacing w:line="288" w:lineRule="auto"/>
      </w:pPr>
      <w:r>
        <w:rPr>
          <w:rFonts w:ascii="Arial" w:hAnsi="Arial" w:eastAsia="Arial" w:cs="Arial"/>
          <w:color w:val="000"/>
          <w:sz w:val="18"/>
          <w:szCs w:val="18"/>
        </w:rPr>
        <w:t xml:space="preserve">The session will be structured around 3 main parts: </w:t>
      </w:r>
    </w:p>
    <w:p>
      <w:pPr>
        <w:spacing w:line="288" w:lineRule="auto"/>
      </w:pPr>
      <w:r>
        <w:rPr>
          <w:rFonts w:ascii="Arial" w:hAnsi="Arial" w:eastAsia="Arial" w:cs="Arial"/>
          <w:color w:val="000"/>
          <w:sz w:val="18"/>
          <w:szCs w:val="18"/>
        </w:rPr>
        <w:t xml:space="preserve">10:30 – 10:35 | </w:t>
      </w:r>
      <w:r>
        <w:rPr>
          <w:rFonts w:ascii="Arial" w:hAnsi="Arial" w:eastAsia="Arial" w:cs="Arial"/>
          <w:color w:val="000"/>
          <w:sz w:val="18"/>
          <w:szCs w:val="18"/>
          <w:b w:val="1"/>
          <w:bCs w:val="1"/>
        </w:rPr>
        <w:t xml:space="preserve">Introduction and welcome (5’) | </w:t>
      </w:r>
      <w:r>
        <w:rPr>
          <w:rFonts w:ascii="Arial" w:hAnsi="Arial" w:eastAsia="Arial" w:cs="Arial"/>
          <w:color w:val="000"/>
          <w:sz w:val="18"/>
          <w:szCs w:val="18"/>
          <w:b w:val="1"/>
          <w:bCs w:val="1"/>
          <w:i w:val="1"/>
          <w:iCs w:val="1"/>
        </w:rPr>
        <w:t xml:space="preserve">Gabriela Ruseva, </w:t>
      </w:r>
      <w:r>
        <w:rPr>
          <w:rFonts w:ascii="Arial" w:hAnsi="Arial" w:eastAsia="Arial" w:cs="Arial"/>
          <w:color w:val="000"/>
          <w:sz w:val="18"/>
          <w:szCs w:val="18"/>
          <w:i w:val="1"/>
          <w:iCs w:val="1"/>
        </w:rPr>
        <w:t xml:space="preserve">Living-in.EU coordinator, Eurocities </w:t>
      </w:r>
    </w:p>
    <w:p>
      <w:pPr>
        <w:spacing w:line="288" w:lineRule="auto"/>
      </w:pPr>
      <w:r>
        <w:rPr>
          <w:rFonts w:ascii="Arial" w:hAnsi="Arial" w:eastAsia="Arial" w:cs="Arial"/>
          <w:color w:val="000"/>
          <w:sz w:val="18"/>
          <w:szCs w:val="18"/>
        </w:rPr>
        <w:t xml:space="preserve">10:35 – 11:05 |</w:t>
      </w:r>
      <w:r>
        <w:rPr>
          <w:rFonts w:ascii="Arial" w:hAnsi="Arial" w:eastAsia="Arial" w:cs="Arial"/>
          <w:color w:val="000"/>
          <w:sz w:val="18"/>
          <w:szCs w:val="18"/>
          <w:b w:val="1"/>
          <w:bCs w:val="1"/>
        </w:rPr>
        <w:t xml:space="preserve"> Part 1: Overview of the Call for GenAI in public administrations (30’)</w:t>
      </w:r>
      <w:r>
        <w:rPr>
          <w:rFonts w:ascii="Arial" w:hAnsi="Arial" w:eastAsia="Arial" w:cs="Arial"/>
          <w:color w:val="000"/>
          <w:sz w:val="18"/>
          <w:szCs w:val="18"/>
        </w:rPr>
        <w:t xml:space="preserve"> </w:t>
      </w:r>
    </w:p>
    <w:p>
      <w:pPr>
        <w:numPr>
          <w:ilvl w:val="0"/>
          <w:numId w:val="4"/>
        </w:numPr>
      </w:pPr>
      <w:r>
        <w:rPr/>
        <w:t xml:space="preserve">10:35 – 10:50 | Overview of the Call for GenAI in public administration (15’) </w:t>
      </w:r>
      <w:r>
        <w:rPr>
          <w:b w:val="1"/>
          <w:bCs w:val="1"/>
        </w:rPr>
        <w:t xml:space="preserve">|</w:t>
      </w:r>
      <w:r>
        <w:rPr>
          <w:b w:val="1"/>
          <w:bCs w:val="1"/>
          <w:i w:val="1"/>
          <w:iCs w:val="1"/>
        </w:rPr>
        <w:t xml:space="preserve">Ivana Zeppa,</w:t>
      </w:r>
      <w:r>
        <w:rPr>
          <w:i w:val="1"/>
          <w:iCs w:val="1"/>
        </w:rPr>
        <w:t xml:space="preserve"> Policy Officer, AI Office, DG CNECT, European Commission</w:t>
      </w:r>
    </w:p>
    <w:p>
      <w:pPr>
        <w:numPr>
          <w:ilvl w:val="0"/>
          <w:numId w:val="4"/>
        </w:numPr>
      </w:pPr>
      <w:r>
        <w:rPr/>
        <w:t xml:space="preserve">10:50 – 11:05 | Synergy funds: overview and opportunities (15’) </w:t>
      </w:r>
      <w:r>
        <w:rPr>
          <w:b w:val="1"/>
          <w:bCs w:val="1"/>
        </w:rPr>
        <w:t xml:space="preserve">| </w:t>
      </w:r>
      <w:r>
        <w:rPr>
          <w:b w:val="1"/>
          <w:bCs w:val="1"/>
          <w:i w:val="1"/>
          <w:iCs w:val="1"/>
        </w:rPr>
        <w:t xml:space="preserve">Beata Bartosova, </w:t>
      </w:r>
      <w:r>
        <w:rPr>
          <w:i w:val="1"/>
          <w:iCs w:val="1"/>
        </w:rPr>
        <w:t xml:space="preserve">Programme Manager, Multi Country Project Accelerator, DG CNECT, European Commission</w:t>
      </w:r>
    </w:p>
    <w:p>
      <w:pPr>
        <w:spacing w:line="288" w:lineRule="auto"/>
      </w:pPr>
      <w:r>
        <w:rPr>
          <w:rFonts w:ascii="Arial" w:hAnsi="Arial" w:eastAsia="Arial" w:cs="Arial"/>
          <w:color w:val="000"/>
          <w:sz w:val="18"/>
          <w:szCs w:val="18"/>
        </w:rPr>
        <w:t xml:space="preserve">11:05 – 11:30 | </w:t>
      </w:r>
      <w:r>
        <w:rPr>
          <w:rFonts w:ascii="Arial" w:hAnsi="Arial" w:eastAsia="Arial" w:cs="Arial"/>
          <w:color w:val="000"/>
          <w:sz w:val="18"/>
          <w:szCs w:val="18"/>
          <w:b w:val="1"/>
          <w:bCs w:val="1"/>
        </w:rPr>
        <w:t xml:space="preserve">Part 2: Q&amp;A session (25’)</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w:t>
      </w:r>
      <w:r>
        <w:rPr>
          <w:rFonts w:ascii="Arial" w:hAnsi="Arial" w:eastAsia="Arial" w:cs="Arial"/>
          <w:color w:val="000"/>
          <w:sz w:val="18"/>
          <w:szCs w:val="18"/>
        </w:rPr>
        <w:t xml:space="preserve"> </w:t>
      </w:r>
      <w:r>
        <w:rPr>
          <w:rFonts w:ascii="Arial" w:hAnsi="Arial" w:eastAsia="Arial" w:cs="Arial"/>
          <w:color w:val="000"/>
          <w:sz w:val="18"/>
          <w:szCs w:val="18"/>
          <w:b w:val="1"/>
          <w:bCs w:val="1"/>
          <w:i w:val="1"/>
          <w:iCs w:val="1"/>
        </w:rPr>
        <w:t xml:space="preserve">Ana D. Georgieva</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Forum and Project Officer – Digital, Eurocities; Living-in.EU Financial WG coordinator</w:t>
      </w:r>
    </w:p>
    <w:p>
      <w:pPr>
        <w:spacing w:line="288" w:lineRule="auto"/>
      </w:pPr>
      <w:r>
        <w:rPr>
          <w:rFonts w:ascii="Arial" w:hAnsi="Arial" w:eastAsia="Arial" w:cs="Arial"/>
          <w:color w:val="000"/>
          <w:sz w:val="18"/>
          <w:szCs w:val="18"/>
        </w:rPr>
        <w:t xml:space="preserve">11:30 – 12:25 | </w:t>
      </w:r>
      <w:r>
        <w:rPr>
          <w:rFonts w:ascii="Arial" w:hAnsi="Arial" w:eastAsia="Arial" w:cs="Arial"/>
          <w:color w:val="000"/>
          <w:sz w:val="18"/>
          <w:szCs w:val="18"/>
          <w:b w:val="1"/>
          <w:bCs w:val="1"/>
        </w:rPr>
        <w:t xml:space="preserve">Part 3: Matchmaking and networking session* in breakout rooms around the identified needs (55’)</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12:25 – 12:30 | Conclusion and next steps (5’)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4D9ACD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8BFE976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C5F5BBB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ABB5727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unding-tenders/opportunities/portal/screen/opportunities/topic-details/DIGITAL-2025-AI-08-SUPPLY-AI?order=DESC&amp;pageNumber=1&amp;pageSize=50&amp;sortBy=startDate&amp;isExactMatch=true&amp;status=31094502&amp;programmePeriod=2021%20-%202027&amp;frameworkProgramme=43152860" TargetMode="External"/><Relationship Id="rId8" Type="http://schemas.openxmlformats.org/officeDocument/2006/relationships/hyperlink" Target="mailto:ana.georgieva@eurocities.eu" TargetMode="External"/><Relationship Id="rId9" Type="http://schemas.openxmlformats.org/officeDocument/2006/relationships/hyperlink" Target="https://events.teams.microsoft.com/event/f89334a4-b770-4854-8942-c5fa39e53905@d12f890a-950a-4680-8ca7-5a36f0889cd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2026-10-24T23:03:37+02:00</dcterms:created>
  <dcterms:modified xsi:type="dcterms:W3CDTF">2026-10-24T23:03:37+02:00</dcterms:modified>
</cp:coreProperties>
</file>

<file path=docProps/custom.xml><?xml version="1.0" encoding="utf-8"?>
<Properties xmlns="http://schemas.openxmlformats.org/officeDocument/2006/custom-properties" xmlns:vt="http://schemas.openxmlformats.org/officeDocument/2006/docPropsVTypes"/>
</file>