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rFonts w:ascii="Arial, Helvetica, sans-serif;" w:hAnsi="Arial, Helvetica, sans-serif;" w:eastAsia="Arial, Helvetica, sans-serif;" w:cs="Arial, Helvetica, sans-serif;"/>
          <w:color w:val="000000"/>
          <w:sz w:val="48"/>
          <w:szCs w:val="48"/>
          <w:b w:val="1"/>
          <w:bCs w:val="1"/>
        </w:rPr>
        <w:t xml:space="preserve">Article: What is digital-twin technology?</w:t>
      </w:r>
    </w:p>
    <w:p>
      <w:pPr/>
    </w:p>
    <w:p>
      <w:pPr>
        <w:spacing w:line="288" w:lineRule="auto"/>
      </w:pPr>
      <w:r>
        <w:rPr>
          <w:rFonts w:ascii="Arial" w:hAnsi="Arial" w:eastAsia="Arial" w:cs="Arial"/>
          <w:color w:val="000"/>
          <w:sz w:val="18"/>
          <w:szCs w:val="18"/>
        </w:rPr>
        <w:t xml:space="preserve">This short article by McKinsey &amp; Company explains simply and clearly what is a digital twin. Learn the basics </w:t>
      </w:r>
      <w:hyperlink r:id="rId7" w:history="1">
        <w:r>
          <w:rPr/>
          <w:t xml:space="preserve">here</w:t>
        </w:r>
      </w:hyperlink>
      <w:r>
        <w:rPr>
          <w:rFonts w:ascii="Arial" w:hAnsi="Arial" w:eastAsia="Arial" w:cs="Arial"/>
          <w:color w:val="000"/>
          <w:sz w:val="18"/>
          <w:szCs w:val="18"/>
        </w:rPr>
        <w:t xml:space="preserve">.</w:t>
      </w:r>
    </w:p>
    <w:p>
      <w:pPr>
        <w:spacing w:line="288" w:lineRule="auto"/>
      </w:pPr>
      <w:r>
        <w:rPr>
          <w:rFonts w:ascii="Arial" w:hAnsi="Arial" w:eastAsia="Arial" w:cs="Arial"/>
          <w:color w:val="000"/>
          <w:sz w:val="18"/>
          <w:szCs w:val="18"/>
        </w:rPr>
        <w:t xml:space="preserve"> </w:t>
      </w:r>
    </w:p>
    <w:p>
      <w:pPr>
        <w:spacing w:line="288" w:lineRule="auto"/>
      </w:pPr>
      <w:r>
        <w:rPr>
          <w:rFonts w:ascii="Arial" w:hAnsi="Arial" w:eastAsia="Arial" w:cs="Arial"/>
          <w:color w:val="000"/>
          <w:sz w:val="18"/>
          <w:szCs w:val="18"/>
        </w:rPr>
        <w:t xml:space="preserve">Published on 26 August 2024.</w:t>
      </w:r>
    </w:p>
    <w:sectPr>
      <w:pgSz w:orient="portrait" w:w="11905.511811023622" w:h="16837.79527559055"/>
      <w:pgMar w:top="150" w:right="150" w:bottom="150" w:left="150" w:header="0" w:footer="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www.mckinsey.com/featured-insights/mckinsey-explainers/what-is-digital-twin-technology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2026-06-13T11:40:21+02:00</dcterms:created>
  <dcterms:modified xsi:type="dcterms:W3CDTF">2026-06-13T11:40:21+02:00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