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Data and API requirements for centralized smart city platforms</w:t>
      </w:r>
    </w:p>
    <w:p>
      <w:pPr/>
    </w:p>
    <w:p>
      <w:pPr>
        <w:spacing w:line="288" w:lineRule="auto"/>
      </w:pPr>
      <w:r>
        <w:rPr>
          <w:rFonts w:ascii="Arial" w:hAnsi="Arial" w:eastAsia="Arial" w:cs="Arial"/>
          <w:color w:val="000"/>
          <w:sz w:val="18"/>
          <w:szCs w:val="18"/>
        </w:rPr>
        <w:t xml:space="preserve">The U4SSC Deliverable on Data and API requirements for centralized smart city platforms focuses on establishing standardized data and API requirements to enhance the interoperability of smart city platforms. It emphasizes the role of centralized systems in managing urban data, aiming to improve city governance, efficiency, and sustainability. The report provides guidelines for data management, integration, and API standardization, essential for cities looking to adopt a centralized approach to smart city technology.</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2026-05-25T12:58:55+02:00</dcterms:created>
  <dcterms:modified xsi:type="dcterms:W3CDTF">2026-05-25T12:58:55+02:00</dcterms:modified>
</cp:coreProperties>
</file>

<file path=docProps/custom.xml><?xml version="1.0" encoding="utf-8"?>
<Properties xmlns="http://schemas.openxmlformats.org/officeDocument/2006/custom-properties" xmlns:vt="http://schemas.openxmlformats.org/officeDocument/2006/docPropsVTypes"/>
</file>