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U4SSC - Policy benchmarks for digital transformation of people-centred cities</w:t>
      </w:r>
    </w:p>
    <w:p>
      <w:pPr/>
    </w:p>
    <w:p>
      <w:pPr>
        <w:spacing w:line="288" w:lineRule="auto"/>
      </w:pPr>
      <w:r>
        <w:rPr>
          <w:rFonts w:ascii="Arial" w:hAnsi="Arial" w:eastAsia="Arial" w:cs="Arial"/>
          <w:color w:val="000"/>
          <w:sz w:val="18"/>
          <w:szCs w:val="18"/>
        </w:rPr>
        <w:t xml:space="preserve">The U4SSC Deliverable on Policy benchmarks for digital transformation of people-centred cities outlines key benchmarks for cities aiming to prioritize people in their digital transformation strategies. It provides guidelines on how urban areas can leverage digital technologies to improve citizen well-being, enhance inclusivity, and ensure sustainable urban development. The report emphasizes the importance of people-centred policies in the context of smart city initiatives.</w:t>
      </w:r>
    </w:p>
    <w:p>
      <w:pPr>
        <w:spacing w:line="288" w:lineRule="auto"/>
      </w:pPr>
      <w:r>
        <w:rPr>
          <w:rFonts w:ascii="Arial" w:hAnsi="Arial" w:eastAsia="Arial" w:cs="Arial"/>
          <w:color w:val="000"/>
          <w:sz w:val="18"/>
          <w:szCs w:val="18"/>
        </w:rPr>
        <w:t xml:space="preserve">Published in September 2024</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2026-07-11T03:05:48+02:00</dcterms:created>
  <dcterms:modified xsi:type="dcterms:W3CDTF">2026-07-11T03:05:48+02:00</dcterms:modified>
</cp:coreProperties>
</file>

<file path=docProps/custom.xml><?xml version="1.0" encoding="utf-8"?>
<Properties xmlns="http://schemas.openxmlformats.org/officeDocument/2006/custom-properties" xmlns:vt="http://schemas.openxmlformats.org/officeDocument/2006/docPropsVTypes"/>
</file>