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Position of the Living-in.EU community on the Apply AI strategy</w:t>
      </w:r>
    </w:p>
    <w:p>
      <w:pPr/>
    </w:p>
    <w:p>
      <w:pPr>
        <w:spacing w:line="288" w:lineRule="auto"/>
      </w:pPr>
      <w:r>
        <w:rPr>
          <w:rFonts w:ascii="Arial" w:hAnsi="Arial" w:eastAsia="Arial" w:cs="Arial"/>
          <w:color w:val="000"/>
          <w:sz w:val="18"/>
          <w:szCs w:val="18"/>
        </w:rPr>
        <w:t xml:space="preserve">The legal commitment of Living-in.EU includes ensuring that the common EU framework for cross-sector and cross-border digital solutions caters to the needs of cities and regions. EU strategic documents and policy frameworks are an integral part of this framework. The Apply AI strategy is one such key document. This is why, the legal working group members looked at the strategy and formulated recommendations to include provisions in the strategy that address the needs of local and regional governments. These recommendations can be found in this document.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2026-05-18T17:17:27+02:00</dcterms:created>
  <dcterms:modified xsi:type="dcterms:W3CDTF">2026-05-18T17:17:27+02:00</dcterms:modified>
</cp:coreProperties>
</file>

<file path=docProps/custom.xml><?xml version="1.0" encoding="utf-8"?>
<Properties xmlns="http://schemas.openxmlformats.org/officeDocument/2006/custom-properties" xmlns:vt="http://schemas.openxmlformats.org/officeDocument/2006/docPropsVTypes"/>
</file>