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Specification 8.0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minimal interoperability mechanisms (MIMs) Plus enable a minimal but sufficient level of interoperability for data, systems, and services specifically in the context of smart city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intended audience for this document are:</w:t>
      </w:r>
    </w:p>
    <w:p>
      <w:pPr>
        <w:numPr>
          <w:ilvl w:val="0"/>
          <w:numId w:val="1"/>
        </w:numPr>
      </w:pPr>
      <w:r>
        <w:rPr/>
        <w:t xml:space="preserve">Solution providers that wish to make sure their solutions are interoperable with other and allow fluid exchange of data within a Smart Cities and Communities context.</w:t>
      </w:r>
    </w:p>
    <w:p>
      <w:pPr>
        <w:numPr>
          <w:ilvl w:val="0"/>
          <w:numId w:val="1"/>
        </w:numPr>
      </w:pPr>
      <w:r>
        <w:rPr/>
        <w:t xml:space="preserve">Procurers that wish to procure solutions that are future-proof and allow cost- effective integration within an existing Smart Cities and Communities Information and Communication Technology (ICT) architecture.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3AEDDA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2026-08-12T10:50:33+02:00</dcterms:created>
  <dcterms:modified xsi:type="dcterms:W3CDTF">2026-08-12T10:50:33+02:00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