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Specification 8.0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minimal interoperability mechanisms (MIMs) Plus enable a minimal but sufficient level of interoperability for data, systems, and services specifically in the context of smart city solutions.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The intended audience for this document are: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1.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Solution providers that wish to make sure their solutions are interoperable with other and allow fluid exchange of data within a Smart Cities and Communities context.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2.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     </w:t>
      </w: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Procurers that wish to procure solutions that are future-proof and allow cost- effective integration within an existing Smart Cities and Communities Information and Communication Technology (ICT) architecture.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lang w:val="EN-GB"/>
          <w:color w:val="000"/>
          <w:sz w:val="18"/>
          <w:szCs w:val="18"/>
        </w:rPr>
        <w:t xml:space="preserve">Are you interested in learning more? Take the course: </w:t>
      </w:r>
      <w:hyperlink r:id="rId7" w:history="1">
        <w:r>
          <w:rPr/>
          <w:t xml:space="preserve">Interoperability for Smarter Public Services: An Introduction to MIMs Plus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knowledge-base/course-interoperability-smarter-public-services-introduction-mims-pl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2026-05-06T12:13:03+02:00</dcterms:created>
  <dcterms:modified xsi:type="dcterms:W3CDTF">2026-05-06T12:13:03+02:00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