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Croatian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9th, 2025, with the support of a consortium of organisations, the </w:t>
      </w:r>
      <w:hyperlink r:id="rId8" w:history="1">
        <w:r>
          <w:rPr/>
          <w:t xml:space="preserve">Association of Cities in the Republic of Croatia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online training sessions,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April 9th, 2025,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</w:t>
      </w:r>
      <w:hyperlink r:id="rId10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May 12th,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May 28th,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hyperlink r:id="rId12" w:history="1">
        <w:r>
          <w:rPr>
            <w:b w:val="1"/>
            <w:bCs w:val="1"/>
          </w:rPr>
          <w:t xml:space="preserve"> 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June 11th,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Here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18E5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A6606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4501F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cities-republic-croatia-aoc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knowledge-base/increasing-digitalisation-awareness-and-readiness-croatian-communities" TargetMode="External"/><Relationship Id="rId11" Type="http://schemas.openxmlformats.org/officeDocument/2006/relationships/hyperlink" Target="https://www.udruga-gradova.hr/dogadjanja/planiranje-digitalne-transformacije-online/" TargetMode="External"/><Relationship Id="rId12" Type="http://schemas.openxmlformats.org/officeDocument/2006/relationships/hyperlink" Target=" https://docs.google.com/forms/d/e/1FAIpQLSeb3JdW6-tUNzmIk4bK9mwvYwb9rzva2jt2qDGGfB41qBZK4A/viewform 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2026-06-16T18:06:02+02:00</dcterms:created>
  <dcterms:modified xsi:type="dcterms:W3CDTF">2026-06-16T18:06:02+02:00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